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63" w:afterLines="20" w:line="480" w:lineRule="auto"/>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城镇老旧小区改造可复制政策机制清单</w:t>
      </w:r>
      <w:r>
        <w:rPr>
          <w:rFonts w:hint="eastAsia" w:ascii="方正小标宋简体" w:hAnsi="方正小标宋简体" w:eastAsia="方正小标宋简体" w:cs="方正小标宋简体"/>
          <w:sz w:val="44"/>
          <w:szCs w:val="44"/>
          <w:lang w:eastAsia="zh-CN"/>
        </w:rPr>
        <w:t>（第八批）</w:t>
      </w:r>
    </w:p>
    <w:tbl>
      <w:tblPr>
        <w:tblStyle w:val="12"/>
        <w:tblW w:w="13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64"/>
        <w:gridCol w:w="1366"/>
        <w:gridCol w:w="10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exact"/>
          <w:jc w:val="center"/>
        </w:trPr>
        <w:tc>
          <w:tcPr>
            <w:tcW w:w="455" w:type="dxa"/>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964" w:type="dxa"/>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政策</w:t>
            </w:r>
          </w:p>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机制</w:t>
            </w:r>
          </w:p>
        </w:tc>
        <w:tc>
          <w:tcPr>
            <w:tcW w:w="1366" w:type="dxa"/>
            <w:vAlign w:val="center"/>
          </w:tcPr>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主要</w:t>
            </w:r>
          </w:p>
          <w:p>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举措</w:t>
            </w:r>
          </w:p>
        </w:tc>
        <w:tc>
          <w:tcPr>
            <w:tcW w:w="10758" w:type="dxa"/>
            <w:vAlign w:val="center"/>
          </w:tcPr>
          <w:p>
            <w:pPr>
              <w:spacing w:line="320" w:lineRule="exact"/>
              <w:jc w:val="center"/>
              <w:rPr>
                <w:rFonts w:hint="eastAsia" w:ascii="仿宋_GB2312" w:hAnsi="仿宋_GB2312" w:eastAsia="仿宋_GB2312" w:cs="仿宋_GB2312"/>
                <w:sz w:val="24"/>
                <w:szCs w:val="24"/>
              </w:rPr>
            </w:pPr>
            <w:r>
              <w:rPr>
                <w:rFonts w:hint="eastAsia" w:ascii="黑体" w:hAnsi="黑体" w:eastAsia="黑体" w:cs="黑体"/>
                <w:sz w:val="28"/>
                <w:szCs w:val="28"/>
              </w:rPr>
              <w:t>具体做法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4" w:hRule="atLeast"/>
          <w:jc w:val="center"/>
        </w:trPr>
        <w:tc>
          <w:tcPr>
            <w:tcW w:w="455" w:type="dxa"/>
            <w:vMerge w:val="restart"/>
            <w:vAlign w:val="center"/>
          </w:tcPr>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r>
              <w:rPr>
                <w:rFonts w:hint="eastAsia" w:ascii="黑体" w:hAnsi="黑体" w:eastAsia="黑体" w:cs="黑体"/>
                <w:color w:val="auto"/>
                <w:sz w:val="24"/>
                <w:lang w:eastAsia="zh-CN"/>
              </w:rPr>
              <w:t>一</w:t>
            </w: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pStyle w:val="6"/>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pStyle w:val="6"/>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pStyle w:val="6"/>
              <w:rPr>
                <w:rFonts w:hint="eastAsia"/>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rPr>
                <w:rFonts w:hint="eastAsia" w:ascii="黑体" w:hAnsi="黑体" w:eastAsia="黑体" w:cs="黑体"/>
                <w:color w:val="auto"/>
                <w:sz w:val="24"/>
                <w:lang w:eastAsia="zh-CN"/>
              </w:rPr>
            </w:pPr>
          </w:p>
          <w:p>
            <w:pPr>
              <w:pStyle w:val="6"/>
              <w:rPr>
                <w:rFonts w:hint="eastAsia"/>
                <w:lang w:eastAsia="zh-CN"/>
              </w:rPr>
            </w:pPr>
          </w:p>
          <w:p>
            <w:pPr>
              <w:rPr>
                <w:rFonts w:hint="eastAsia"/>
                <w:lang w:eastAsia="zh-CN"/>
              </w:rPr>
            </w:pPr>
          </w:p>
          <w:p>
            <w:pPr>
              <w:pStyle w:val="6"/>
              <w:rPr>
                <w:rFonts w:hint="eastAsia"/>
                <w:lang w:eastAsia="zh-CN"/>
              </w:rPr>
            </w:pPr>
          </w:p>
          <w:p>
            <w:pPr>
              <w:rPr>
                <w:rFonts w:hint="eastAsia" w:ascii="黑体" w:hAnsi="黑体" w:eastAsia="黑体" w:cs="黑体"/>
                <w:color w:val="auto"/>
                <w:sz w:val="24"/>
                <w:lang w:eastAsia="zh-CN"/>
              </w:rPr>
            </w:pPr>
          </w:p>
          <w:p>
            <w:pPr>
              <w:rPr>
                <w:rFonts w:hint="eastAsia" w:eastAsia="宋体"/>
                <w:lang w:eastAsia="zh-CN"/>
              </w:rPr>
            </w:pPr>
            <w:r>
              <w:rPr>
                <w:rFonts w:hint="eastAsia" w:ascii="黑体" w:hAnsi="黑体" w:eastAsia="黑体" w:cs="黑体"/>
                <w:color w:val="auto"/>
                <w:sz w:val="24"/>
                <w:lang w:eastAsia="zh-CN"/>
              </w:rPr>
              <w:t>一</w:t>
            </w:r>
          </w:p>
        </w:tc>
        <w:tc>
          <w:tcPr>
            <w:tcW w:w="964" w:type="dxa"/>
            <w:vMerge w:val="restart"/>
            <w:vAlign w:val="center"/>
          </w:tcPr>
          <w:p>
            <w:pPr>
              <w:rPr>
                <w:rFonts w:hint="eastAsia" w:ascii="黑体" w:hAnsi="黑体" w:eastAsia="黑体" w:cs="黑体"/>
                <w:color w:val="auto"/>
                <w:sz w:val="24"/>
              </w:rPr>
            </w:pPr>
          </w:p>
          <w:p>
            <w:pPr>
              <w:rPr>
                <w:rFonts w:hint="eastAsia" w:ascii="黑体" w:hAnsi="黑体" w:eastAsia="黑体" w:cs="黑体"/>
                <w:color w:val="auto"/>
                <w:sz w:val="24"/>
              </w:rPr>
            </w:pPr>
          </w:p>
          <w:p>
            <w:pPr>
              <w:rPr>
                <w:rFonts w:hint="eastAsia" w:ascii="黑体" w:hAnsi="黑体" w:eastAsia="黑体" w:cs="黑体"/>
                <w:color w:val="auto"/>
                <w:sz w:val="24"/>
              </w:rPr>
            </w:pPr>
          </w:p>
          <w:p>
            <w:pPr>
              <w:rPr>
                <w:rFonts w:hint="eastAsia" w:ascii="黑体" w:hAnsi="黑体" w:eastAsia="黑体" w:cs="黑体"/>
                <w:color w:val="auto"/>
                <w:sz w:val="24"/>
              </w:rPr>
            </w:pPr>
          </w:p>
          <w:p>
            <w:pPr>
              <w:rPr>
                <w:rFonts w:hint="eastAsia" w:ascii="黑体" w:hAnsi="黑体" w:eastAsia="黑体" w:cs="黑体"/>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黑体" w:hAnsi="黑体" w:eastAsia="黑体" w:cs="黑体"/>
                <w:color w:val="auto"/>
                <w:sz w:val="24"/>
              </w:rPr>
            </w:pPr>
          </w:p>
          <w:p>
            <w:pPr>
              <w:spacing w:line="320" w:lineRule="exact"/>
              <w:jc w:val="left"/>
              <w:rPr>
                <w:rFonts w:hint="eastAsia" w:ascii="黑体" w:hAnsi="黑体" w:eastAsia="黑体" w:cs="黑体"/>
                <w:color w:val="auto"/>
                <w:sz w:val="24"/>
              </w:rPr>
            </w:pPr>
          </w:p>
          <w:p>
            <w:pPr>
              <w:spacing w:line="320" w:lineRule="exact"/>
              <w:jc w:val="left"/>
              <w:rPr>
                <w:rFonts w:hint="eastAsia"/>
              </w:rPr>
            </w:pPr>
            <w:r>
              <w:rPr>
                <w:rFonts w:hint="eastAsia" w:ascii="黑体" w:hAnsi="黑体" w:eastAsia="黑体" w:cs="黑体"/>
                <w:color w:val="auto"/>
                <w:sz w:val="24"/>
              </w:rPr>
              <w:t>盘活利用存量资源</w:t>
            </w: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rPr>
                <w:rFonts w:hint="eastAsia" w:ascii="黑体" w:hAnsi="黑体" w:eastAsia="黑体" w:cs="黑体"/>
                <w:color w:val="auto"/>
                <w:sz w:val="24"/>
                <w:szCs w:val="24"/>
              </w:rPr>
            </w:pPr>
          </w:p>
          <w:p>
            <w:pPr>
              <w:rPr>
                <w:rFonts w:hint="eastAsia" w:ascii="黑体" w:hAnsi="黑体" w:eastAsia="黑体" w:cs="黑体"/>
                <w:color w:val="auto"/>
                <w:sz w:val="24"/>
                <w:szCs w:val="24"/>
              </w:rPr>
            </w:pPr>
          </w:p>
          <w:p>
            <w:pPr>
              <w:rPr>
                <w:rFonts w:hint="eastAsia" w:ascii="黑体" w:hAnsi="黑体" w:eastAsia="黑体" w:cs="黑体"/>
                <w:color w:val="auto"/>
                <w:sz w:val="24"/>
                <w:szCs w:val="24"/>
              </w:rPr>
            </w:pPr>
          </w:p>
          <w:p>
            <w:pPr>
              <w:rPr>
                <w:rFonts w:hint="eastAsia" w:ascii="黑体" w:hAnsi="黑体" w:eastAsia="黑体" w:cs="黑体"/>
                <w:color w:val="auto"/>
                <w:sz w:val="24"/>
                <w:szCs w:val="24"/>
              </w:rPr>
            </w:pPr>
          </w:p>
          <w:p>
            <w:pPr>
              <w:rPr>
                <w:rFonts w:hint="eastAsia" w:ascii="黑体" w:hAnsi="黑体" w:eastAsia="黑体" w:cs="黑体"/>
                <w:color w:val="auto"/>
                <w:sz w:val="24"/>
                <w:szCs w:val="24"/>
              </w:rPr>
            </w:pPr>
          </w:p>
          <w:p>
            <w:pPr>
              <w:rPr>
                <w:rFonts w:hint="eastAsia" w:ascii="黑体" w:hAnsi="黑体" w:eastAsia="黑体" w:cs="黑体"/>
                <w:color w:val="auto"/>
                <w:sz w:val="24"/>
                <w:szCs w:val="24"/>
              </w:rPr>
            </w:pPr>
          </w:p>
          <w:p>
            <w:pPr>
              <w:rPr>
                <w:rFonts w:hint="eastAsia" w:ascii="黑体" w:hAnsi="黑体" w:eastAsia="黑体" w:cs="黑体"/>
                <w:color w:val="auto"/>
                <w:sz w:val="24"/>
                <w:szCs w:val="24"/>
              </w:rPr>
            </w:pPr>
          </w:p>
          <w:p>
            <w:pPr>
              <w:rPr>
                <w:rFonts w:hint="eastAsia" w:ascii="黑体" w:hAnsi="黑体" w:eastAsia="黑体" w:cs="黑体"/>
                <w:color w:val="auto"/>
                <w:sz w:val="24"/>
                <w:szCs w:val="24"/>
              </w:rPr>
            </w:pPr>
          </w:p>
          <w:p>
            <w:pPr>
              <w:rPr>
                <w:rFonts w:hint="eastAsia"/>
              </w:rPr>
            </w:pPr>
            <w:r>
              <w:rPr>
                <w:rFonts w:hint="eastAsia" w:ascii="黑体" w:hAnsi="黑体" w:eastAsia="黑体" w:cs="黑体"/>
                <w:color w:val="auto"/>
                <w:sz w:val="24"/>
                <w:szCs w:val="24"/>
              </w:rPr>
              <w:t>盘活利用存量资源</w:t>
            </w:r>
          </w:p>
        </w:tc>
        <w:tc>
          <w:tcPr>
            <w:tcW w:w="1366" w:type="dxa"/>
            <w:vAlign w:val="center"/>
          </w:tcPr>
          <w:p>
            <w:pPr>
              <w:pStyle w:val="11"/>
              <w:spacing w:line="320" w:lineRule="exact"/>
              <w:ind w:left="0" w:leftChars="0" w:firstLine="0" w:firstLineChars="0"/>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lang w:val="en-US" w:eastAsia="zh-CN"/>
              </w:rPr>
              <w:t>（一）盘活闲置房屋</w:t>
            </w:r>
          </w:p>
        </w:tc>
        <w:tc>
          <w:tcPr>
            <w:tcW w:w="107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1．湖南省长沙市出台《关于将市级存量房屋支持用于城镇老旧小区配套服务的指导意见》，鼓励将老旧小区内或周边市级行政事业单位、国有企业所有存量房屋以低价租赁等方式用于老旧小区配套公共服务设施，租金收入专项用于城镇老旧小区改造工作。2020—2023年全市共盘活市级存量房屋3.8万平方米。比如，雨花区金科园小区改造项目中，引入多家企业投入2246万元，将相关单位在社区内闲置的12处房屋共8120平方米，改造为养老、托育、助餐、便利店等公共服务设施。     </w:t>
            </w:r>
          </w:p>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广东省广州市印发《关于整合利用存量公有房屋促进城镇老旧小区改造的意见》《广州市老旧小区既有建筑活化利用实施办法》，摸查老旧小区及周边存量公有房屋资源底数，允许纳入改造范围活化利用，引入社会力量建设运营。比如，白云区黄石花园片区改造项目由社会力量出资，对闲置公房改造更新，首批60余套打造为</w:t>
            </w:r>
            <w:r>
              <w:rPr>
                <w:rFonts w:hint="eastAsia" w:ascii="仿宋_GB2312" w:hAnsi="仿宋_GB2312" w:eastAsia="仿宋_GB2312" w:cs="仿宋_GB2312"/>
                <w:b w:val="0"/>
                <w:bCs w:val="0"/>
                <w:color w:val="000000"/>
                <w:kern w:val="0"/>
                <w:sz w:val="24"/>
                <w:szCs w:val="24"/>
                <w:lang w:val="en-US" w:eastAsia="zh-CN"/>
              </w:rPr>
              <w:t>保障性租赁住房</w:t>
            </w:r>
            <w:r>
              <w:rPr>
                <w:rFonts w:hint="eastAsia" w:ascii="仿宋_GB2312" w:hAnsi="仿宋_GB2312" w:eastAsia="仿宋_GB2312" w:cs="仿宋_GB2312"/>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3．江苏省常州市浦南新村小区改造项目整合小区内外碎片化存量资源，建设养老、托育等服务设施。</w:t>
            </w:r>
            <w:r>
              <w:rPr>
                <w:rFonts w:hint="eastAsia" w:ascii="仿宋_GB2312" w:hAnsi="仿宋_GB2312" w:eastAsia="仿宋_GB2312" w:cs="仿宋_GB2312"/>
                <w:b/>
                <w:bCs/>
                <w:color w:val="000000"/>
                <w:kern w:val="0"/>
                <w:sz w:val="24"/>
                <w:szCs w:val="24"/>
                <w:lang w:val="en-US" w:eastAsia="zh-CN"/>
              </w:rPr>
              <w:t>一是</w:t>
            </w:r>
            <w:r>
              <w:rPr>
                <w:rFonts w:hint="eastAsia" w:ascii="仿宋_GB2312" w:hAnsi="仿宋_GB2312" w:eastAsia="仿宋_GB2312" w:cs="仿宋_GB2312"/>
                <w:color w:val="000000"/>
                <w:kern w:val="0"/>
                <w:sz w:val="24"/>
                <w:szCs w:val="24"/>
                <w:lang w:val="en-US" w:eastAsia="zh-CN"/>
              </w:rPr>
              <w:t>拆除小区西侧废弃垃圾房以及相连的7个车库，新建建筑面积为300平方米的托育中心；</w:t>
            </w:r>
            <w:r>
              <w:rPr>
                <w:rFonts w:hint="eastAsia" w:ascii="仿宋_GB2312" w:hAnsi="仿宋_GB2312" w:eastAsia="仿宋_GB2312" w:cs="仿宋_GB2312"/>
                <w:b/>
                <w:bCs/>
                <w:color w:val="000000"/>
                <w:kern w:val="0"/>
                <w:sz w:val="24"/>
                <w:szCs w:val="24"/>
                <w:lang w:val="en-US" w:eastAsia="zh-CN"/>
              </w:rPr>
              <w:t>二是</w:t>
            </w:r>
            <w:r>
              <w:rPr>
                <w:rFonts w:hint="eastAsia" w:ascii="仿宋_GB2312" w:hAnsi="仿宋_GB2312" w:eastAsia="仿宋_GB2312" w:cs="仿宋_GB2312"/>
                <w:color w:val="000000"/>
                <w:kern w:val="0"/>
                <w:sz w:val="24"/>
                <w:szCs w:val="24"/>
                <w:lang w:val="en-US" w:eastAsia="zh-CN"/>
              </w:rPr>
              <w:t>拆除整合小区内相邻的变电站、储藏室、公交车司机临时休息点等临时建筑，建设了二层集老年活动室、食堂、养老中心等为一体的综合服务设施，建筑面积从原来的330平方米增加至550平方米；</w:t>
            </w:r>
            <w:r>
              <w:rPr>
                <w:rFonts w:hint="eastAsia" w:ascii="仿宋_GB2312" w:hAnsi="仿宋_GB2312" w:eastAsia="仿宋_GB2312" w:cs="仿宋_GB2312"/>
                <w:b/>
                <w:bCs/>
                <w:color w:val="000000"/>
                <w:kern w:val="0"/>
                <w:sz w:val="24"/>
                <w:szCs w:val="24"/>
                <w:lang w:val="en-US" w:eastAsia="zh-CN"/>
              </w:rPr>
              <w:t>三是</w:t>
            </w:r>
            <w:r>
              <w:rPr>
                <w:rFonts w:hint="eastAsia" w:ascii="仿宋_GB2312" w:hAnsi="仿宋_GB2312" w:eastAsia="仿宋_GB2312" w:cs="仿宋_GB2312"/>
                <w:color w:val="000000"/>
                <w:kern w:val="0"/>
                <w:sz w:val="24"/>
                <w:szCs w:val="24"/>
                <w:lang w:val="en-US" w:eastAsia="zh-CN"/>
              </w:rPr>
              <w:t xml:space="preserve">在优化小区交通流线、新开小区东门的同时，将东门两侧街道所属的垃圾场站改建为便利店、裁缝铺等便民服务设施。 </w:t>
            </w:r>
          </w:p>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lang w:val="en-US" w:eastAsia="zh-CN"/>
              </w:rPr>
            </w:pPr>
            <w:r>
              <w:rPr>
                <w:rFonts w:hint="eastAsia" w:ascii="仿宋_GB2312" w:hAnsi="仿宋_GB2312" w:eastAsia="仿宋_GB2312" w:cs="仿宋_GB2312"/>
                <w:color w:val="000000"/>
                <w:kern w:val="0"/>
                <w:sz w:val="24"/>
                <w:szCs w:val="24"/>
                <w:lang w:val="en-US" w:eastAsia="zh-CN"/>
              </w:rPr>
              <w:t>4．云南省楚雄州牟定县对老车队小区等4个小区实施连片改造，统一引入物业管理，增设物业用房。由于4个小区此前均无物业用房，改造中拆除小区中一处某企业所有建筑面积为90平方米的废弃厕所，在原址新建2层建筑面积为180平方米的房屋，一楼用作片区公厕，二楼用作物业管理用房、供小区居民无偿使用，拆除及新建费用由项目建设单位承担，并约定如将来对该房屋整体征收拆迁，则统一由该企业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7" w:hRule="atLeast"/>
          <w:jc w:val="center"/>
        </w:trPr>
        <w:tc>
          <w:tcPr>
            <w:tcW w:w="455" w:type="dxa"/>
            <w:vMerge w:val="continue"/>
            <w:vAlign w:val="center"/>
          </w:tcPr>
          <w:p>
            <w:pPr>
              <w:rPr>
                <w:rFonts w:hint="eastAsia"/>
              </w:rPr>
            </w:pPr>
          </w:p>
        </w:tc>
        <w:tc>
          <w:tcPr>
            <w:tcW w:w="964" w:type="dxa"/>
            <w:vMerge w:val="continue"/>
            <w:vAlign w:val="center"/>
          </w:tcPr>
          <w:p>
            <w:pPr>
              <w:spacing w:line="320" w:lineRule="exact"/>
              <w:jc w:val="left"/>
              <w:rPr>
                <w:rFonts w:hint="eastAsia" w:ascii="黑体" w:hAnsi="黑体" w:eastAsia="黑体" w:cs="黑体"/>
                <w:b w:val="0"/>
                <w:bCs w:val="0"/>
                <w:sz w:val="24"/>
                <w:szCs w:val="24"/>
              </w:rPr>
            </w:pPr>
          </w:p>
        </w:tc>
        <w:tc>
          <w:tcPr>
            <w:tcW w:w="1366" w:type="dxa"/>
            <w:vAlign w:val="center"/>
          </w:tcPr>
          <w:p>
            <w:pPr>
              <w:spacing w:line="320" w:lineRule="exact"/>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lang w:eastAsia="zh-CN"/>
              </w:rPr>
              <w:t>（二）整合利用低效用地</w:t>
            </w:r>
          </w:p>
        </w:tc>
        <w:tc>
          <w:tcPr>
            <w:tcW w:w="107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ascii="仿宋_GB2312" w:hAnsi="仿宋_GB2312" w:eastAsia="仿宋_GB2312" w:cs="仿宋_GB2312"/>
                <w:b w:val="0"/>
                <w:bCs w:val="0"/>
                <w:color w:val="000000"/>
                <w:spacing w:val="0"/>
                <w:kern w:val="0"/>
                <w:sz w:val="24"/>
                <w:szCs w:val="24"/>
                <w:lang w:val="en-US" w:eastAsia="zh-CN"/>
              </w:rPr>
            </w:pPr>
            <w:r>
              <w:rPr>
                <w:rFonts w:hint="eastAsia" w:ascii="仿宋_GB2312" w:hAnsi="仿宋_GB2312" w:eastAsia="仿宋_GB2312" w:cs="仿宋_GB2312"/>
                <w:b w:val="0"/>
                <w:bCs w:val="0"/>
                <w:color w:val="000000"/>
                <w:spacing w:val="0"/>
                <w:kern w:val="0"/>
                <w:sz w:val="24"/>
                <w:szCs w:val="24"/>
                <w:lang w:val="en-US" w:eastAsia="zh-CN"/>
              </w:rPr>
              <w:t>1</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b w:val="0"/>
                <w:bCs w:val="0"/>
                <w:color w:val="000000"/>
                <w:spacing w:val="0"/>
                <w:kern w:val="0"/>
                <w:sz w:val="24"/>
                <w:szCs w:val="24"/>
                <w:lang w:val="en-US" w:eastAsia="zh-CN"/>
              </w:rPr>
              <w:t>浙江省绍兴市柯桥区梅福小区及梅巷小区、梅园小区间有4块带状已收储的边角零星地，共9000余平方米，因小区之间存在近200米围墙，一直无法连片利用而闲置。实施老旧小区改造中，由区政府规划联席会议调整土地用途并将土地划拨给街道合并整合、统筹使用，新建</w:t>
            </w:r>
            <w:r>
              <w:rPr>
                <w:rFonts w:hint="eastAsia" w:ascii="仿宋_GB2312" w:hAnsi="仿宋_GB2312" w:eastAsia="仿宋_GB2312" w:cs="仿宋_GB2312"/>
                <w:color w:val="000000"/>
                <w:kern w:val="0"/>
                <w:sz w:val="24"/>
                <w:szCs w:val="24"/>
                <w:lang w:val="en-US" w:eastAsia="zh-CN"/>
              </w:rPr>
              <w:t>建筑面积为</w:t>
            </w:r>
            <w:r>
              <w:rPr>
                <w:rFonts w:hint="eastAsia" w:ascii="仿宋_GB2312" w:hAnsi="仿宋_GB2312" w:eastAsia="仿宋_GB2312" w:cs="仿宋_GB2312"/>
                <w:b w:val="0"/>
                <w:bCs w:val="0"/>
                <w:color w:val="000000"/>
                <w:spacing w:val="0"/>
                <w:kern w:val="0"/>
                <w:sz w:val="24"/>
                <w:szCs w:val="24"/>
                <w:lang w:val="en-US" w:eastAsia="zh-CN"/>
              </w:rPr>
              <w:t>11820平方米的邻里中心，植入养老、托育、助餐、医疗、超市等服务功能20余个，新增停车位190个、电动汽车充电桩32个，辐射周边6个社区15个小区（其中8个为老旧小区），惠及居民4万户。</w:t>
            </w:r>
          </w:p>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ascii="仿宋_GB2312" w:hAnsi="仿宋_GB2312" w:eastAsia="仿宋_GB2312" w:cs="仿宋_GB2312"/>
                <w:b w:val="0"/>
                <w:bCs w:val="0"/>
                <w:color w:val="000000"/>
                <w:spacing w:val="0"/>
                <w:kern w:val="0"/>
                <w:sz w:val="24"/>
                <w:szCs w:val="24"/>
                <w:lang w:val="en-US" w:eastAsia="zh-CN"/>
              </w:rPr>
            </w:pPr>
            <w:r>
              <w:rPr>
                <w:rFonts w:hint="eastAsia" w:ascii="仿宋_GB2312" w:hAnsi="仿宋_GB2312" w:eastAsia="仿宋_GB2312" w:cs="仿宋_GB2312"/>
                <w:b w:val="0"/>
                <w:bCs w:val="0"/>
                <w:color w:val="000000"/>
                <w:spacing w:val="0"/>
                <w:kern w:val="0"/>
                <w:sz w:val="24"/>
                <w:szCs w:val="24"/>
                <w:lang w:val="en-US" w:eastAsia="zh-CN"/>
              </w:rPr>
              <w:t>2</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b w:val="0"/>
                <w:bCs w:val="0"/>
                <w:color w:val="000000"/>
                <w:spacing w:val="0"/>
                <w:kern w:val="0"/>
                <w:sz w:val="24"/>
                <w:szCs w:val="24"/>
                <w:lang w:val="en-US" w:eastAsia="zh-CN"/>
              </w:rPr>
              <w:t xml:space="preserve">河北省衡水市冀州区冀建胡同小区改造中，协调小区旁建筑公司通过土地置换的方式，利用该公司所属老旧厂房拆除腾空土地，完善小区配套设施，新增停车位180个，新建休闲健身场所3处，包括600余平方米休闲活动场地1处，400平方米综合健身场地1处，1000平方米综合球类场地1处（含375平方米5人制足球场1个、420平方米标准篮球场1个、100平方米乒乓球场地2处），满足周边6个小区1000余户居民停车、休闲活动和运动健身需求，成为周边居民的“网红打卡地”。 </w:t>
            </w:r>
          </w:p>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ascii="仿宋_GB2312" w:hAnsi="仿宋_GB2312" w:eastAsia="仿宋_GB2312" w:cs="仿宋_GB2312"/>
                <w:b w:val="0"/>
                <w:bCs w:val="0"/>
                <w:color w:val="000000"/>
                <w:spacing w:val="0"/>
                <w:kern w:val="0"/>
                <w:sz w:val="24"/>
                <w:szCs w:val="24"/>
                <w:lang w:val="en-US" w:eastAsia="zh-CN"/>
              </w:rPr>
            </w:pPr>
            <w:r>
              <w:rPr>
                <w:rFonts w:hint="eastAsia" w:ascii="仿宋_GB2312" w:hAnsi="仿宋_GB2312" w:eastAsia="仿宋_GB2312" w:cs="仿宋_GB2312"/>
                <w:b w:val="0"/>
                <w:bCs w:val="0"/>
                <w:color w:val="000000"/>
                <w:spacing w:val="0"/>
                <w:kern w:val="0"/>
                <w:sz w:val="24"/>
                <w:szCs w:val="24"/>
                <w:lang w:val="en-US" w:eastAsia="zh-CN"/>
              </w:rPr>
              <w:t>3</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b w:val="0"/>
                <w:bCs w:val="0"/>
                <w:color w:val="000000"/>
                <w:spacing w:val="0"/>
                <w:kern w:val="0"/>
                <w:sz w:val="24"/>
                <w:szCs w:val="24"/>
                <w:lang w:val="en-US" w:eastAsia="zh-CN"/>
              </w:rPr>
              <w:t>江西省抚州市荆公路社区改造项目中，市政府协调市文旅投集团投入资金约2600万元，将社区内该企业所属的一块3.85亩空置土地，用于建设邻里中心、地下停车场、食堂、托育点、公厕等；协调国网抚州供电公司将供电小区内其所有的原办公楼和活动中心，无偿改造为居家养老服务中心和居民休闲活动室，解决了“一老一幼”设施不足及周边停车难等问题。</w:t>
            </w:r>
          </w:p>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lang w:val="en-US" w:eastAsia="zh-CN"/>
              </w:rPr>
            </w:pPr>
            <w:r>
              <w:rPr>
                <w:rFonts w:hint="eastAsia" w:ascii="仿宋_GB2312" w:hAnsi="仿宋_GB2312" w:eastAsia="仿宋_GB2312" w:cs="仿宋_GB2312"/>
                <w:b w:val="0"/>
                <w:bCs w:val="0"/>
                <w:color w:val="000000"/>
                <w:spacing w:val="0"/>
                <w:kern w:val="0"/>
                <w:sz w:val="24"/>
                <w:szCs w:val="24"/>
                <w:lang w:val="en-US" w:eastAsia="zh-CN"/>
              </w:rPr>
              <w:t>4</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b w:val="0"/>
                <w:bCs w:val="0"/>
                <w:color w:val="000000"/>
                <w:spacing w:val="0"/>
                <w:kern w:val="0"/>
                <w:sz w:val="24"/>
                <w:szCs w:val="24"/>
                <w:lang w:val="en-US" w:eastAsia="zh-CN"/>
              </w:rPr>
              <w:t xml:space="preserve">四川省成都市锦江区莲心苑片区改造项目、武侯区玉林片区改造项目以及河南省鹤壁市淇滨区佳和豪苑、四合院改造项目，利用“拆墙并院”释放的低效利用空间和拆除违建新增的零散空间，拓宽道路、新增停车设施、建设社区便民服务点等。比如，成都市武侯区玉林片区改造项目通过增设小体量装配式建筑、收储房屋改造、空间腾挪等方式，植入居民日常生活所需的爱心理发店、便民菜市、社区图书馆、社区食堂等便民公共服务和商业设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55" w:type="dxa"/>
            <w:vMerge w:val="continue"/>
            <w:vAlign w:val="center"/>
          </w:tcPr>
          <w:p>
            <w:pPr>
              <w:rPr>
                <w:rFonts w:hint="eastAsia"/>
              </w:rPr>
            </w:pPr>
          </w:p>
        </w:tc>
        <w:tc>
          <w:tcPr>
            <w:tcW w:w="964" w:type="dxa"/>
            <w:vMerge w:val="continue"/>
            <w:vAlign w:val="center"/>
          </w:tcPr>
          <w:p>
            <w:pPr>
              <w:spacing w:line="320" w:lineRule="exact"/>
              <w:jc w:val="left"/>
              <w:rPr>
                <w:rFonts w:hint="eastAsia" w:ascii="黑体" w:hAnsi="黑体" w:eastAsia="黑体" w:cs="黑体"/>
                <w:b w:val="0"/>
                <w:bCs w:val="0"/>
                <w:sz w:val="24"/>
                <w:szCs w:val="24"/>
              </w:rPr>
            </w:pPr>
          </w:p>
        </w:tc>
        <w:tc>
          <w:tcPr>
            <w:tcW w:w="1366" w:type="dxa"/>
            <w:vAlign w:val="center"/>
          </w:tcPr>
          <w:p>
            <w:pPr>
              <w:spacing w:line="320" w:lineRule="exact"/>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color w:val="auto"/>
                <w:sz w:val="24"/>
                <w:szCs w:val="24"/>
                <w:lang w:eastAsia="zh-CN"/>
              </w:rPr>
              <w:t>（三）明确小区服务设施不动产登记政策</w:t>
            </w:r>
          </w:p>
        </w:tc>
        <w:tc>
          <w:tcPr>
            <w:tcW w:w="107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ascii="仿宋_GB2312" w:hAnsi="仿宋_GB2312" w:eastAsia="仿宋_GB2312" w:cs="仿宋_GB2312"/>
                <w:b w:val="0"/>
                <w:bCs w:val="0"/>
                <w:color w:val="000000"/>
                <w:spacing w:val="0"/>
                <w:kern w:val="0"/>
                <w:sz w:val="24"/>
                <w:szCs w:val="24"/>
                <w:lang w:val="en-US" w:eastAsia="zh-CN"/>
              </w:rPr>
            </w:pPr>
            <w:r>
              <w:rPr>
                <w:rFonts w:hint="eastAsia" w:ascii="仿宋_GB2312" w:hAnsi="仿宋_GB2312" w:eastAsia="仿宋_GB2312" w:cs="仿宋_GB2312"/>
                <w:b w:val="0"/>
                <w:bCs w:val="0"/>
                <w:color w:val="000000"/>
                <w:spacing w:val="0"/>
                <w:kern w:val="0"/>
                <w:sz w:val="24"/>
                <w:szCs w:val="24"/>
                <w:lang w:val="en-US" w:eastAsia="zh-CN"/>
              </w:rPr>
              <w:t>浙江省杭州市创新出台《杭州市城镇老旧小区改造项目社区配套用房产权办理办法（试行）》等规定，以老旧小区改造中通过新建、改建、扩建等方式新增且用于公共服务的社区配套用房为对象，建立联审联验的审批办证机制，为老旧小区改造项目建设社区配套用房合规办理产权登记提供政策保障。截至目前，改造项目新增社区配套用房完成不动产登记共83处3万余平方米。具体流程为：建设单位组织编制建设方案并经居民同意，由建设、自然资源等部门，水电气信等专营单位以及街道社区对建设方案联合会商、形成联合会商纪要，明确建设位置、建设规模、建设内容、具体使用功能、规划管控以及相关设计标准等要求，建设单位凭联合会商纪要办理建设工程施工许可和质量安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455" w:type="dxa"/>
            <w:vAlign w:val="center"/>
          </w:tcPr>
          <w:p>
            <w:pPr>
              <w:rPr>
                <w:rFonts w:hint="eastAsia"/>
              </w:rPr>
            </w:pPr>
          </w:p>
        </w:tc>
        <w:tc>
          <w:tcPr>
            <w:tcW w:w="964" w:type="dxa"/>
            <w:vAlign w:val="center"/>
          </w:tcPr>
          <w:p>
            <w:pPr>
              <w:spacing w:line="320" w:lineRule="exact"/>
              <w:jc w:val="left"/>
              <w:rPr>
                <w:rFonts w:hint="eastAsia" w:ascii="黑体" w:hAnsi="黑体" w:eastAsia="黑体" w:cs="黑体"/>
                <w:b w:val="0"/>
                <w:bCs w:val="0"/>
                <w:sz w:val="24"/>
                <w:szCs w:val="24"/>
              </w:rPr>
            </w:pPr>
          </w:p>
        </w:tc>
        <w:tc>
          <w:tcPr>
            <w:tcW w:w="1366" w:type="dxa"/>
            <w:vAlign w:val="center"/>
          </w:tcPr>
          <w:p>
            <w:pPr>
              <w:spacing w:line="320" w:lineRule="exact"/>
              <w:rPr>
                <w:rFonts w:hint="eastAsia" w:ascii="楷体_GB2312" w:hAnsi="楷体_GB2312" w:eastAsia="楷体_GB2312" w:cs="楷体_GB2312"/>
                <w:b/>
                <w:bCs/>
                <w:color w:val="auto"/>
                <w:sz w:val="24"/>
                <w:szCs w:val="24"/>
                <w:lang w:eastAsia="zh-CN"/>
              </w:rPr>
            </w:pPr>
          </w:p>
        </w:tc>
        <w:tc>
          <w:tcPr>
            <w:tcW w:w="10758"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b w:val="0"/>
                <w:bCs w:val="0"/>
                <w:color w:val="000000"/>
                <w:spacing w:val="0"/>
                <w:kern w:val="0"/>
                <w:sz w:val="24"/>
                <w:szCs w:val="24"/>
                <w:lang w:val="en-US" w:eastAsia="zh-CN"/>
              </w:rPr>
            </w:pPr>
            <w:r>
              <w:rPr>
                <w:rFonts w:hint="eastAsia" w:ascii="仿宋_GB2312" w:hAnsi="仿宋_GB2312" w:eastAsia="仿宋_GB2312" w:cs="仿宋_GB2312"/>
                <w:b w:val="0"/>
                <w:bCs w:val="0"/>
                <w:color w:val="000000"/>
                <w:spacing w:val="0"/>
                <w:kern w:val="0"/>
                <w:sz w:val="24"/>
                <w:szCs w:val="24"/>
                <w:lang w:val="en-US" w:eastAsia="zh-CN"/>
              </w:rPr>
              <w:t>手续，建设单位组织竣工验收后，区、县（市）政府组织相关部门开展联合验收，形成联合验收会议纪要。建设单位凭联合验收会议纪要及竣工验收资料，经市老旧小区综合改造提升协调小组办公室召集相关成员单位确认后，申请办理不动产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1" w:hRule="atLeast"/>
          <w:jc w:val="center"/>
        </w:trPr>
        <w:tc>
          <w:tcPr>
            <w:tcW w:w="455" w:type="dxa"/>
            <w:vMerge w:val="restart"/>
            <w:vAlign w:val="center"/>
          </w:tcPr>
          <w:p>
            <w:pPr>
              <w:spacing w:line="320" w:lineRule="exact"/>
              <w:jc w:val="center"/>
              <w:rPr>
                <w:rFonts w:hint="eastAsia" w:ascii="黑体" w:hAnsi="黑体" w:eastAsia="黑体" w:cs="黑体"/>
                <w:sz w:val="24"/>
                <w:szCs w:val="32"/>
              </w:rPr>
            </w:pPr>
          </w:p>
          <w:p>
            <w:pPr>
              <w:spacing w:line="320" w:lineRule="exact"/>
              <w:jc w:val="center"/>
              <w:rPr>
                <w:rFonts w:hint="eastAsia" w:ascii="黑体" w:hAnsi="黑体" w:eastAsia="黑体" w:cs="黑体"/>
                <w:sz w:val="24"/>
                <w:szCs w:val="32"/>
              </w:rPr>
            </w:pPr>
          </w:p>
          <w:p>
            <w:pPr>
              <w:spacing w:line="320" w:lineRule="exact"/>
              <w:jc w:val="center"/>
              <w:rPr>
                <w:rFonts w:hint="eastAsia" w:ascii="黑体" w:hAnsi="黑体" w:eastAsia="黑体" w:cs="黑体"/>
                <w:sz w:val="24"/>
                <w:szCs w:val="32"/>
              </w:rPr>
            </w:pPr>
          </w:p>
          <w:p>
            <w:pPr>
              <w:spacing w:line="320" w:lineRule="exact"/>
              <w:jc w:val="center"/>
              <w:rPr>
                <w:rFonts w:hint="eastAsia" w:ascii="黑体" w:hAnsi="黑体" w:eastAsia="黑体" w:cs="黑体"/>
                <w:sz w:val="24"/>
                <w:szCs w:val="32"/>
              </w:rPr>
            </w:pPr>
          </w:p>
          <w:p>
            <w:pPr>
              <w:rPr>
                <w:rFonts w:hint="eastAsia" w:ascii="黑体" w:hAnsi="黑体" w:eastAsia="黑体" w:cs="黑体"/>
                <w:sz w:val="24"/>
                <w:szCs w:val="32"/>
              </w:rPr>
            </w:pPr>
            <w:r>
              <w:rPr>
                <w:rFonts w:hint="eastAsia" w:ascii="黑体" w:hAnsi="黑体" w:eastAsia="黑体" w:cs="黑体"/>
                <w:sz w:val="24"/>
                <w:szCs w:val="32"/>
                <w:lang w:eastAsia="zh-CN"/>
              </w:rPr>
              <w:t>二</w:t>
            </w:r>
          </w:p>
          <w:p>
            <w:pPr>
              <w:pStyle w:val="7"/>
              <w:rPr>
                <w:rFonts w:hint="eastAsia" w:ascii="黑体" w:hAnsi="黑体" w:eastAsia="黑体" w:cs="黑体"/>
                <w:sz w:val="24"/>
                <w:szCs w:val="32"/>
              </w:rPr>
            </w:pPr>
          </w:p>
          <w:p>
            <w:pPr>
              <w:rPr>
                <w:rFonts w:hint="eastAsia" w:ascii="黑体" w:hAnsi="黑体" w:eastAsia="黑体" w:cs="黑体"/>
                <w:sz w:val="24"/>
                <w:szCs w:val="32"/>
              </w:rPr>
            </w:pPr>
          </w:p>
          <w:p>
            <w:pPr>
              <w:pStyle w:val="7"/>
              <w:rPr>
                <w:rFonts w:hint="eastAsia" w:ascii="黑体" w:hAnsi="黑体" w:eastAsia="黑体" w:cs="黑体"/>
                <w:sz w:val="24"/>
                <w:szCs w:val="32"/>
              </w:rPr>
            </w:pPr>
          </w:p>
          <w:p>
            <w:pPr>
              <w:rPr>
                <w:rFonts w:hint="eastAsia" w:ascii="黑体" w:hAnsi="黑体" w:eastAsia="黑体" w:cs="黑体"/>
                <w:sz w:val="24"/>
                <w:szCs w:val="32"/>
              </w:rPr>
            </w:pPr>
          </w:p>
          <w:p>
            <w:pPr>
              <w:pStyle w:val="7"/>
              <w:rPr>
                <w:rFonts w:hint="eastAsia" w:ascii="黑体" w:hAnsi="黑体" w:eastAsia="黑体" w:cs="黑体"/>
                <w:sz w:val="24"/>
                <w:szCs w:val="32"/>
              </w:rPr>
            </w:pPr>
          </w:p>
          <w:p>
            <w:pPr>
              <w:rPr>
                <w:rFonts w:hint="eastAsia"/>
              </w:rPr>
            </w:pPr>
          </w:p>
          <w:p>
            <w:pPr>
              <w:rPr>
                <w:rFonts w:hint="eastAsia"/>
              </w:rPr>
            </w:pPr>
          </w:p>
        </w:tc>
        <w:tc>
          <w:tcPr>
            <w:tcW w:w="964" w:type="dxa"/>
            <w:vMerge w:val="restart"/>
            <w:vAlign w:val="center"/>
          </w:tcPr>
          <w:p>
            <w:pPr>
              <w:jc w:val="left"/>
              <w:rPr>
                <w:rFonts w:hint="eastAsia" w:ascii="黑体" w:hAnsi="黑体" w:eastAsia="黑体" w:cs="黑体"/>
                <w:sz w:val="24"/>
                <w:szCs w:val="24"/>
                <w:lang w:eastAsia="zh-CN"/>
              </w:rPr>
            </w:pPr>
          </w:p>
          <w:p>
            <w:pPr>
              <w:spacing w:line="320" w:lineRule="exact"/>
              <w:rPr>
                <w:rFonts w:hint="eastAsia" w:ascii="黑体" w:hAnsi="黑体" w:eastAsia="黑体" w:cs="黑体"/>
                <w:sz w:val="24"/>
                <w:szCs w:val="24"/>
                <w:lang w:eastAsia="zh-CN"/>
              </w:rPr>
            </w:pPr>
            <w:r>
              <w:rPr>
                <w:rFonts w:hint="eastAsia" w:ascii="黑体" w:hAnsi="黑体" w:eastAsia="黑体" w:cs="黑体"/>
                <w:b w:val="0"/>
                <w:bCs w:val="0"/>
                <w:sz w:val="24"/>
                <w:szCs w:val="24"/>
                <w:lang w:eastAsia="zh-CN"/>
              </w:rPr>
              <w:t>拓宽资金筹集渠道</w:t>
            </w:r>
          </w:p>
          <w:p>
            <w:pPr>
              <w:spacing w:line="320" w:lineRule="exact"/>
              <w:jc w:val="left"/>
              <w:rPr>
                <w:rFonts w:hint="eastAsia" w:ascii="黑体" w:hAnsi="黑体" w:eastAsia="黑体" w:cs="黑体"/>
                <w:sz w:val="24"/>
                <w:szCs w:val="24"/>
                <w:lang w:eastAsia="zh-CN"/>
              </w:rPr>
            </w:pPr>
          </w:p>
          <w:p>
            <w:pPr>
              <w:spacing w:line="320" w:lineRule="exact"/>
              <w:rPr>
                <w:rFonts w:hint="eastAsia" w:ascii="黑体" w:hAnsi="黑体" w:eastAsia="黑体" w:cs="黑体"/>
                <w:sz w:val="24"/>
                <w:szCs w:val="24"/>
                <w:lang w:eastAsia="zh-CN"/>
              </w:rPr>
            </w:pPr>
          </w:p>
          <w:p>
            <w:pPr>
              <w:spacing w:line="320" w:lineRule="exact"/>
              <w:jc w:val="left"/>
              <w:rPr>
                <w:rFonts w:hint="eastAsia" w:ascii="黑体" w:hAnsi="黑体" w:eastAsia="黑体" w:cs="黑体"/>
                <w:sz w:val="24"/>
                <w:lang w:eastAsia="zh-CN"/>
              </w:rPr>
            </w:pPr>
          </w:p>
          <w:p>
            <w:pPr>
              <w:spacing w:line="320" w:lineRule="exact"/>
              <w:jc w:val="left"/>
              <w:rPr>
                <w:rFonts w:hint="eastAsia" w:ascii="楷体_GB2312" w:hAnsi="楷体_GB2312" w:eastAsia="楷体_GB2312" w:cs="楷体_GB2312"/>
                <w:b/>
                <w:bCs/>
                <w:sz w:val="24"/>
                <w:szCs w:val="24"/>
              </w:rPr>
            </w:pPr>
          </w:p>
        </w:tc>
        <w:tc>
          <w:tcPr>
            <w:tcW w:w="1366" w:type="dxa"/>
            <w:tcBorders>
              <w:left w:val="single" w:color="000000" w:sz="4" w:space="0"/>
              <w:bottom w:val="single" w:color="auto" w:sz="4" w:space="0"/>
            </w:tcBorders>
            <w:vAlign w:val="center"/>
          </w:tcPr>
          <w:p>
            <w:pPr>
              <w:pStyle w:val="11"/>
              <w:spacing w:line="320" w:lineRule="exact"/>
              <w:ind w:left="0" w:leftChars="0" w:firstLine="0" w:firstLineChars="0"/>
              <w:rPr>
                <w:rFonts w:hint="eastAsia" w:ascii="楷体_GB2312" w:hAnsi="楷体_GB2312" w:eastAsia="楷体_GB2312" w:cs="楷体_GB2312"/>
                <w:b/>
                <w:bCs/>
                <w:color w:val="auto"/>
                <w:sz w:val="24"/>
                <w:szCs w:val="24"/>
                <w:lang w:eastAsia="zh-CN"/>
              </w:rPr>
            </w:pPr>
            <w:r>
              <w:rPr>
                <w:rFonts w:hint="eastAsia" w:ascii="楷体_GB2312" w:hAnsi="楷体_GB2312" w:eastAsia="楷体_GB2312" w:cs="楷体_GB2312"/>
                <w:b/>
                <w:bCs/>
                <w:sz w:val="24"/>
                <w:szCs w:val="24"/>
                <w:highlight w:val="none"/>
              </w:rPr>
              <w:t>（一）动员居民出资参与</w:t>
            </w:r>
          </w:p>
        </w:tc>
        <w:tc>
          <w:tcPr>
            <w:tcW w:w="107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四川省南充市、陕西省榆林市榆阳区通过将居民出资作为纳入年度改造计划的前置条件、党员干部带头出资、社区入户走访宣传政策、召开协商会议等措施，动员居民出资用于小区改造及补建续筹住宅专项维修资金。比如，南充市改造项目居民出资率达96%，改造后建立住宅专项维修资金制度的小区比例达92.5%；2023年，居民共出资4200余万元，较上年度增加43%，其中3305万元用于小区改造，895万元用于补建续筹住宅专项维修资金。陕西省榆林市榆阳区2023年改造计划项目居民出资2203万元、户均出资1.2万元，占总投资的18%；截至目前，2024年改造计划项目居民出资已超过1780万元。</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2．广东省</w:t>
            </w:r>
            <w:r>
              <w:rPr>
                <w:rFonts w:hint="eastAsia" w:ascii="仿宋_GB2312" w:hAnsi="仿宋_GB2312" w:eastAsia="仿宋_GB2312" w:cs="仿宋_GB2312"/>
                <w:sz w:val="24"/>
                <w:szCs w:val="24"/>
              </w:rPr>
              <w:t>珠海市香洲区出台建筑物本体整治奖补办法，按照财政与居民1:1且不超过5000元/户标准进行奖补，有效提升了居民</w:t>
            </w:r>
            <w:r>
              <w:rPr>
                <w:rFonts w:hint="eastAsia" w:ascii="仿宋_GB2312" w:hAnsi="仿宋_GB2312" w:eastAsia="仿宋_GB2312" w:cs="仿宋_GB2312"/>
                <w:sz w:val="24"/>
                <w:szCs w:val="24"/>
                <w:lang w:eastAsia="zh-CN"/>
              </w:rPr>
              <w:t>出资</w:t>
            </w:r>
            <w:r>
              <w:rPr>
                <w:rFonts w:hint="eastAsia" w:ascii="仿宋_GB2312" w:hAnsi="仿宋_GB2312" w:eastAsia="仿宋_GB2312" w:cs="仿宋_GB2312"/>
                <w:sz w:val="24"/>
                <w:szCs w:val="24"/>
              </w:rPr>
              <w:t>参与改造的积极性。截至目前，香洲区累计完成269个楼栋改造，财政奖补约2000万元，撬动居民出资2200万元，惠及</w:t>
            </w:r>
            <w:r>
              <w:rPr>
                <w:rFonts w:hint="eastAsia" w:ascii="仿宋_GB2312" w:hAnsi="仿宋_GB2312" w:eastAsia="仿宋_GB2312" w:cs="仿宋_GB2312"/>
                <w:sz w:val="24"/>
                <w:szCs w:val="24"/>
                <w:lang w:eastAsia="zh-CN"/>
              </w:rPr>
              <w:t>居民</w:t>
            </w:r>
            <w:r>
              <w:rPr>
                <w:rFonts w:hint="eastAsia" w:ascii="仿宋_GB2312" w:hAnsi="仿宋_GB2312" w:eastAsia="仿宋_GB2312" w:cs="仿宋_GB2312"/>
                <w:sz w:val="24"/>
                <w:szCs w:val="24"/>
              </w:rPr>
              <w:t>6018户。</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浙江省温州市老旧小区改造中，引导业主大会出让小区内部公共停车位使用权的方式筹集居民出资。比如，清风碧波小区将小区部分停车位按位置分档，以10年总价3.6万元至4.2万元的价格出让90个停车位使用权，共筹集改造资金360万元。富荣小区以6年总价1.8万元至2.56万元价格，出让195个停车位使用权，共筹集改造资金425万元。</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山东省淄博市按照“谁受益、谁出资”的原则，鼓励居民结合改造出资更换节能门窗、户内水电暖改造、室内装修改造、更换家具家电等，实现户外户内同步改造，更好提升居民居住条件。比如，张店区庭兰村小区204户居民户均出资约2万元更换节能窗814扇，临淄区张家新村小区220余户居民户均出资约10万元用于室内装修及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455" w:type="dxa"/>
            <w:vMerge w:val="continue"/>
            <w:tcBorders>
              <w:bottom w:val="single" w:color="auto" w:sz="4" w:space="0"/>
            </w:tcBorders>
            <w:vAlign w:val="center"/>
          </w:tcPr>
          <w:p>
            <w:pPr>
              <w:rPr>
                <w:rFonts w:hint="eastAsia"/>
              </w:rPr>
            </w:pPr>
          </w:p>
        </w:tc>
        <w:tc>
          <w:tcPr>
            <w:tcW w:w="964" w:type="dxa"/>
            <w:vMerge w:val="continue"/>
            <w:tcBorders>
              <w:bottom w:val="single" w:color="auto" w:sz="4" w:space="0"/>
            </w:tcBorders>
            <w:vAlign w:val="center"/>
          </w:tcPr>
          <w:p>
            <w:pPr>
              <w:spacing w:line="320" w:lineRule="exact"/>
              <w:jc w:val="left"/>
              <w:rPr>
                <w:rFonts w:hint="eastAsia" w:ascii="楷体_GB2312" w:hAnsi="楷体_GB2312" w:eastAsia="楷体_GB2312" w:cs="楷体_GB2312"/>
                <w:b/>
                <w:bCs/>
                <w:sz w:val="24"/>
                <w:szCs w:val="24"/>
              </w:rPr>
            </w:pPr>
          </w:p>
        </w:tc>
        <w:tc>
          <w:tcPr>
            <w:tcW w:w="1366" w:type="dxa"/>
            <w:tcBorders>
              <w:left w:val="single" w:color="000000" w:sz="4" w:space="0"/>
              <w:bottom w:val="single" w:color="auto" w:sz="4" w:space="0"/>
            </w:tcBorders>
            <w:vAlign w:val="center"/>
          </w:tcPr>
          <w:p>
            <w:pPr>
              <w:pStyle w:val="11"/>
              <w:spacing w:line="320" w:lineRule="exact"/>
              <w:ind w:left="0" w:leftChars="0" w:firstLine="0" w:firstLineChars="0"/>
              <w:rPr>
                <w:rFonts w:hint="eastAsia" w:ascii="楷体_GB2312" w:hAnsi="楷体_GB2312" w:eastAsia="楷体_GB2312" w:cs="楷体_GB2312"/>
                <w:b/>
                <w:bCs/>
                <w:sz w:val="24"/>
                <w:szCs w:val="24"/>
                <w:highlight w:val="none"/>
              </w:rPr>
            </w:pPr>
          </w:p>
        </w:tc>
        <w:tc>
          <w:tcPr>
            <w:tcW w:w="107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广东省搭建政企合作平台，积极引导水电气信等专营单位出资支持老旧小区改造，住房城乡建设厅先后联合广东电信、广东移动印发支持老旧小区线网整治和智慧化提升的政策文件。2020—2023年，省内各专营单位已累计出资超过7亿元支持老旧小区改造。如佛山市整治改造“三线”（弱电部分），由通信运营商全额出资，政府给予适当奖补，当地运营商累计出资1.07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3" w:hRule="atLeast"/>
          <w:jc w:val="center"/>
        </w:trPr>
        <w:tc>
          <w:tcPr>
            <w:tcW w:w="455" w:type="dxa"/>
            <w:vMerge w:val="restart"/>
            <w:tcBorders>
              <w:top w:val="single" w:color="auto" w:sz="4" w:space="0"/>
              <w:left w:val="single" w:color="000000" w:sz="4" w:space="0"/>
            </w:tcBorders>
            <w:vAlign w:val="center"/>
          </w:tcPr>
          <w:p>
            <w:pPr>
              <w:spacing w:line="320" w:lineRule="exact"/>
              <w:jc w:val="center"/>
              <w:rPr>
                <w:rFonts w:hint="eastAsia" w:ascii="黑体" w:hAnsi="黑体" w:eastAsia="黑体" w:cs="黑体"/>
                <w:sz w:val="24"/>
                <w:szCs w:val="32"/>
              </w:rPr>
            </w:pPr>
          </w:p>
          <w:p>
            <w:pPr>
              <w:spacing w:line="320" w:lineRule="exact"/>
              <w:jc w:val="center"/>
              <w:rPr>
                <w:rFonts w:hint="eastAsia" w:ascii="黑体" w:hAnsi="黑体" w:eastAsia="黑体" w:cs="黑体"/>
                <w:sz w:val="24"/>
                <w:szCs w:val="32"/>
              </w:rPr>
            </w:pPr>
          </w:p>
          <w:p>
            <w:pPr>
              <w:spacing w:line="320" w:lineRule="exact"/>
              <w:jc w:val="center"/>
              <w:rPr>
                <w:rFonts w:hint="eastAsia" w:ascii="黑体" w:hAnsi="黑体" w:eastAsia="黑体" w:cs="黑体"/>
                <w:sz w:val="24"/>
                <w:szCs w:val="32"/>
              </w:rPr>
            </w:pPr>
          </w:p>
          <w:p>
            <w:pPr>
              <w:spacing w:line="320" w:lineRule="exact"/>
              <w:jc w:val="center"/>
              <w:rPr>
                <w:rFonts w:hint="eastAsia" w:ascii="黑体" w:hAnsi="黑体" w:eastAsia="黑体" w:cs="黑体"/>
                <w:sz w:val="24"/>
                <w:szCs w:val="32"/>
              </w:rPr>
            </w:pPr>
          </w:p>
          <w:p>
            <w:pPr>
              <w:spacing w:line="320" w:lineRule="exact"/>
              <w:jc w:val="center"/>
              <w:rPr>
                <w:rFonts w:hint="eastAsia" w:ascii="黑体" w:hAnsi="黑体" w:eastAsia="黑体" w:cs="黑体"/>
                <w:sz w:val="24"/>
                <w:szCs w:val="32"/>
              </w:rPr>
            </w:pPr>
          </w:p>
          <w:p>
            <w:pPr>
              <w:pStyle w:val="7"/>
              <w:rPr>
                <w:rFonts w:hint="eastAsia" w:ascii="黑体" w:hAnsi="黑体" w:eastAsia="黑体" w:cs="黑体"/>
                <w:sz w:val="24"/>
                <w:szCs w:val="32"/>
              </w:rPr>
            </w:pPr>
          </w:p>
          <w:p>
            <w:pPr>
              <w:rPr>
                <w:rFonts w:hint="eastAsia"/>
              </w:rPr>
            </w:pPr>
          </w:p>
          <w:p>
            <w:pPr>
              <w:pStyle w:val="6"/>
              <w:rPr>
                <w:rFonts w:hint="eastAsia"/>
              </w:rPr>
            </w:pPr>
          </w:p>
          <w:p>
            <w:pPr>
              <w:rPr>
                <w:rFonts w:hint="eastAsia"/>
              </w:rPr>
            </w:pPr>
          </w:p>
          <w:p>
            <w:pPr>
              <w:rPr>
                <w:rFonts w:hint="eastAsia" w:ascii="黑体" w:hAnsi="黑体" w:eastAsia="黑体" w:cs="黑体"/>
                <w:sz w:val="24"/>
                <w:szCs w:val="32"/>
                <w:lang w:eastAsia="zh-CN"/>
              </w:rPr>
            </w:pPr>
          </w:p>
          <w:p>
            <w:pPr>
              <w:rPr>
                <w:rFonts w:hint="eastAsia" w:ascii="黑体" w:hAnsi="黑体" w:eastAsia="黑体" w:cs="黑体"/>
                <w:sz w:val="24"/>
                <w:szCs w:val="32"/>
              </w:rPr>
            </w:pPr>
            <w:r>
              <w:rPr>
                <w:rFonts w:hint="eastAsia" w:ascii="黑体" w:hAnsi="黑体" w:eastAsia="黑体" w:cs="黑体"/>
                <w:sz w:val="24"/>
                <w:szCs w:val="32"/>
                <w:lang w:eastAsia="zh-CN"/>
              </w:rPr>
              <w:t>二</w:t>
            </w:r>
          </w:p>
          <w:p>
            <w:pPr>
              <w:pStyle w:val="7"/>
              <w:rPr>
                <w:rFonts w:hint="eastAsia" w:ascii="黑体" w:hAnsi="黑体" w:eastAsia="黑体" w:cs="黑体"/>
                <w:sz w:val="24"/>
                <w:szCs w:val="32"/>
              </w:rPr>
            </w:pPr>
          </w:p>
          <w:p>
            <w:pPr>
              <w:rPr>
                <w:rFonts w:hint="eastAsia" w:ascii="黑体" w:hAnsi="黑体" w:eastAsia="黑体" w:cs="黑体"/>
                <w:sz w:val="24"/>
                <w:szCs w:val="32"/>
              </w:rPr>
            </w:pPr>
          </w:p>
          <w:p>
            <w:pPr>
              <w:pStyle w:val="7"/>
              <w:rPr>
                <w:rFonts w:hint="eastAsia" w:ascii="黑体" w:hAnsi="黑体" w:eastAsia="黑体" w:cs="黑体"/>
                <w:sz w:val="24"/>
                <w:szCs w:val="32"/>
              </w:rPr>
            </w:pPr>
          </w:p>
          <w:p>
            <w:pPr>
              <w:rPr>
                <w:rFonts w:hint="eastAsia" w:ascii="黑体" w:hAnsi="黑体" w:eastAsia="黑体" w:cs="黑体"/>
                <w:sz w:val="24"/>
                <w:szCs w:val="32"/>
              </w:rPr>
            </w:pPr>
          </w:p>
          <w:p>
            <w:pPr>
              <w:pStyle w:val="6"/>
              <w:rPr>
                <w:rFonts w:hint="eastAsia" w:ascii="黑体" w:hAnsi="黑体" w:eastAsia="黑体" w:cs="黑体"/>
                <w:sz w:val="24"/>
                <w:szCs w:val="32"/>
              </w:rPr>
            </w:pPr>
          </w:p>
          <w:p>
            <w:pPr>
              <w:rPr>
                <w:rFonts w:hint="eastAsia" w:ascii="黑体" w:hAnsi="黑体" w:eastAsia="黑体" w:cs="黑体"/>
                <w:sz w:val="24"/>
                <w:szCs w:val="32"/>
              </w:rPr>
            </w:pPr>
          </w:p>
          <w:p>
            <w:pPr>
              <w:pStyle w:val="6"/>
              <w:rPr>
                <w:rFonts w:hint="eastAsia" w:ascii="黑体" w:hAnsi="黑体" w:eastAsia="黑体" w:cs="黑体"/>
                <w:sz w:val="24"/>
                <w:szCs w:val="32"/>
              </w:rPr>
            </w:pPr>
          </w:p>
          <w:p>
            <w:pPr>
              <w:rPr>
                <w:rFonts w:hint="eastAsia" w:ascii="黑体" w:hAnsi="黑体" w:eastAsia="黑体" w:cs="黑体"/>
                <w:sz w:val="24"/>
                <w:szCs w:val="32"/>
              </w:rPr>
            </w:pPr>
          </w:p>
          <w:p>
            <w:pPr>
              <w:pStyle w:val="6"/>
              <w:rPr>
                <w:rFonts w:hint="eastAsia" w:ascii="黑体" w:hAnsi="黑体" w:eastAsia="黑体" w:cs="黑体"/>
                <w:sz w:val="24"/>
                <w:szCs w:val="32"/>
              </w:rPr>
            </w:pPr>
          </w:p>
          <w:p>
            <w:pPr>
              <w:rPr>
                <w:rFonts w:hint="eastAsia" w:ascii="黑体" w:hAnsi="黑体" w:eastAsia="黑体" w:cs="黑体"/>
                <w:sz w:val="24"/>
                <w:szCs w:val="32"/>
              </w:rPr>
            </w:pPr>
          </w:p>
          <w:p>
            <w:pPr>
              <w:pStyle w:val="6"/>
              <w:rPr>
                <w:rFonts w:hint="eastAsia" w:ascii="黑体" w:hAnsi="黑体" w:eastAsia="黑体" w:cs="黑体"/>
                <w:sz w:val="24"/>
                <w:szCs w:val="32"/>
              </w:rPr>
            </w:pPr>
          </w:p>
          <w:p>
            <w:pPr>
              <w:rPr>
                <w:rFonts w:hint="eastAsia" w:ascii="黑体" w:hAnsi="黑体" w:eastAsia="黑体" w:cs="黑体"/>
                <w:sz w:val="24"/>
                <w:szCs w:val="32"/>
              </w:rPr>
            </w:pPr>
          </w:p>
          <w:p>
            <w:pPr>
              <w:pStyle w:val="6"/>
              <w:rPr>
                <w:rFonts w:hint="eastAsia" w:ascii="黑体" w:hAnsi="黑体" w:eastAsia="黑体" w:cs="黑体"/>
                <w:sz w:val="24"/>
                <w:szCs w:val="32"/>
              </w:rPr>
            </w:pPr>
          </w:p>
          <w:p>
            <w:pPr>
              <w:rPr>
                <w:rFonts w:hint="eastAsia" w:ascii="黑体" w:hAnsi="黑体" w:eastAsia="黑体" w:cs="黑体"/>
                <w:sz w:val="24"/>
                <w:szCs w:val="32"/>
              </w:rPr>
            </w:pPr>
          </w:p>
          <w:p>
            <w:pPr>
              <w:pStyle w:val="6"/>
              <w:rPr>
                <w:rFonts w:hint="eastAsia" w:ascii="黑体" w:hAnsi="黑体" w:eastAsia="黑体" w:cs="黑体"/>
                <w:sz w:val="24"/>
                <w:szCs w:val="32"/>
              </w:rPr>
            </w:pPr>
          </w:p>
          <w:p>
            <w:pPr>
              <w:rPr>
                <w:rFonts w:hint="eastAsia" w:ascii="黑体" w:hAnsi="黑体" w:eastAsia="黑体" w:cs="黑体"/>
                <w:sz w:val="24"/>
                <w:szCs w:val="32"/>
              </w:rPr>
            </w:pPr>
          </w:p>
          <w:p>
            <w:pPr>
              <w:pStyle w:val="6"/>
              <w:rPr>
                <w:rFonts w:hint="eastAsia" w:ascii="黑体" w:hAnsi="黑体" w:eastAsia="黑体" w:cs="黑体"/>
                <w:sz w:val="24"/>
                <w:szCs w:val="32"/>
              </w:rPr>
            </w:pPr>
          </w:p>
          <w:p>
            <w:pPr>
              <w:rPr>
                <w:rFonts w:hint="eastAsia"/>
              </w:rPr>
            </w:pPr>
          </w:p>
          <w:p>
            <w:pPr>
              <w:pStyle w:val="6"/>
              <w:rPr>
                <w:rFonts w:hint="eastAsia" w:ascii="黑体" w:hAnsi="黑体" w:eastAsia="黑体" w:cs="黑体"/>
                <w:sz w:val="24"/>
                <w:szCs w:val="32"/>
              </w:rPr>
            </w:pPr>
          </w:p>
          <w:p>
            <w:pPr>
              <w:rPr>
                <w:rFonts w:hint="eastAsia" w:ascii="黑体" w:hAnsi="黑体" w:eastAsia="黑体" w:cs="黑体"/>
                <w:sz w:val="24"/>
                <w:szCs w:val="32"/>
              </w:rPr>
            </w:pPr>
          </w:p>
          <w:p>
            <w:pPr>
              <w:pStyle w:val="6"/>
              <w:rPr>
                <w:rFonts w:hint="eastAsia" w:ascii="黑体" w:hAnsi="黑体" w:eastAsia="黑体" w:cs="黑体"/>
                <w:sz w:val="24"/>
                <w:szCs w:val="32"/>
              </w:rPr>
            </w:pPr>
          </w:p>
          <w:p>
            <w:pPr>
              <w:rPr>
                <w:rFonts w:hint="eastAsia"/>
              </w:rPr>
            </w:pPr>
          </w:p>
          <w:p>
            <w:pPr>
              <w:pStyle w:val="6"/>
              <w:rPr>
                <w:rFonts w:hint="eastAsia"/>
              </w:rPr>
            </w:pPr>
          </w:p>
          <w:p>
            <w:pPr>
              <w:rPr>
                <w:rFonts w:hint="eastAsia" w:ascii="黑体" w:hAnsi="黑体" w:eastAsia="黑体" w:cs="黑体"/>
                <w:sz w:val="24"/>
                <w:szCs w:val="32"/>
              </w:rPr>
            </w:pPr>
          </w:p>
          <w:p>
            <w:pPr>
              <w:rPr>
                <w:rFonts w:hint="eastAsia" w:ascii="黑体" w:hAnsi="黑体" w:eastAsia="黑体" w:cs="黑体"/>
                <w:sz w:val="24"/>
                <w:szCs w:val="32"/>
              </w:rPr>
            </w:pPr>
            <w:r>
              <w:rPr>
                <w:rFonts w:hint="eastAsia" w:ascii="黑体" w:hAnsi="黑体" w:eastAsia="黑体" w:cs="黑体"/>
                <w:sz w:val="24"/>
                <w:szCs w:val="32"/>
                <w:lang w:eastAsia="zh-CN"/>
              </w:rPr>
              <w:t>二</w:t>
            </w:r>
          </w:p>
          <w:p>
            <w:pPr>
              <w:pStyle w:val="7"/>
              <w:rPr>
                <w:rFonts w:hint="eastAsia" w:ascii="黑体" w:hAnsi="黑体" w:eastAsia="黑体" w:cs="黑体"/>
                <w:sz w:val="24"/>
                <w:szCs w:val="32"/>
              </w:rPr>
            </w:pPr>
          </w:p>
          <w:p>
            <w:pPr>
              <w:rPr>
                <w:rFonts w:hint="eastAsia"/>
              </w:rPr>
            </w:pPr>
          </w:p>
          <w:p>
            <w:pPr>
              <w:rPr>
                <w:rFonts w:hint="eastAsia"/>
              </w:rPr>
            </w:pPr>
          </w:p>
        </w:tc>
        <w:tc>
          <w:tcPr>
            <w:tcW w:w="964" w:type="dxa"/>
            <w:vMerge w:val="restart"/>
            <w:tcBorders>
              <w:top w:val="single" w:color="auto" w:sz="4" w:space="0"/>
              <w:right w:val="single" w:color="000000" w:sz="4" w:space="0"/>
            </w:tcBorders>
            <w:vAlign w:val="center"/>
          </w:tcPr>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jc w:val="left"/>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lang w:eastAsia="zh-CN"/>
              </w:rPr>
            </w:pPr>
          </w:p>
          <w:p>
            <w:pPr>
              <w:spacing w:line="320" w:lineRule="exact"/>
              <w:rPr>
                <w:rFonts w:hint="eastAsia" w:ascii="黑体" w:hAnsi="黑体" w:eastAsia="黑体" w:cs="黑体"/>
                <w:sz w:val="24"/>
                <w:szCs w:val="24"/>
                <w:lang w:eastAsia="zh-CN"/>
              </w:rPr>
            </w:pPr>
            <w:r>
              <w:rPr>
                <w:rFonts w:hint="eastAsia" w:ascii="黑体" w:hAnsi="黑体" w:eastAsia="黑体" w:cs="黑体"/>
                <w:b w:val="0"/>
                <w:bCs w:val="0"/>
                <w:sz w:val="24"/>
                <w:szCs w:val="24"/>
                <w:lang w:eastAsia="zh-CN"/>
              </w:rPr>
              <w:t>拓宽资金筹集渠道</w:t>
            </w:r>
          </w:p>
          <w:p>
            <w:pPr>
              <w:spacing w:line="320" w:lineRule="exact"/>
              <w:jc w:val="left"/>
              <w:rPr>
                <w:rFonts w:hint="eastAsia" w:ascii="黑体" w:hAnsi="黑体" w:eastAsia="黑体" w:cs="黑体"/>
                <w:sz w:val="24"/>
                <w:szCs w:val="24"/>
                <w:lang w:eastAsia="zh-CN"/>
              </w:rPr>
            </w:pPr>
          </w:p>
          <w:p>
            <w:pPr>
              <w:spacing w:line="320" w:lineRule="exact"/>
              <w:rPr>
                <w:rFonts w:hint="eastAsia" w:ascii="黑体" w:hAnsi="黑体" w:eastAsia="黑体" w:cs="黑体"/>
                <w:sz w:val="24"/>
                <w:szCs w:val="24"/>
                <w:lang w:eastAsia="zh-CN"/>
              </w:rPr>
            </w:pPr>
          </w:p>
          <w:p>
            <w:pPr>
              <w:spacing w:line="320" w:lineRule="exact"/>
              <w:jc w:val="left"/>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lang w:eastAsia="zh-CN"/>
              </w:rPr>
            </w:pPr>
          </w:p>
          <w:p>
            <w:pPr>
              <w:pStyle w:val="6"/>
              <w:rPr>
                <w:rFonts w:hint="eastAsia" w:ascii="黑体" w:hAnsi="黑体" w:eastAsia="黑体" w:cs="黑体"/>
                <w:sz w:val="24"/>
                <w:szCs w:val="24"/>
                <w:lang w:eastAsia="zh-CN"/>
              </w:rPr>
            </w:pPr>
          </w:p>
          <w:p>
            <w:pPr>
              <w:rPr>
                <w:rFonts w:hint="eastAsia"/>
                <w:lang w:eastAsia="zh-CN"/>
              </w:rPr>
            </w:pPr>
          </w:p>
          <w:p>
            <w:pPr>
              <w:spacing w:line="320" w:lineRule="exact"/>
              <w:rPr>
                <w:rFonts w:hint="eastAsia" w:ascii="黑体" w:hAnsi="黑体" w:eastAsia="黑体" w:cs="黑体"/>
                <w:sz w:val="24"/>
                <w:szCs w:val="24"/>
                <w:lang w:eastAsia="zh-CN"/>
              </w:rPr>
            </w:pPr>
          </w:p>
          <w:p>
            <w:pPr>
              <w:spacing w:line="320" w:lineRule="exact"/>
              <w:rPr>
                <w:rFonts w:hint="eastAsia" w:ascii="黑体" w:hAnsi="黑体" w:eastAsia="黑体" w:cs="黑体"/>
                <w:b w:val="0"/>
                <w:bCs w:val="0"/>
                <w:sz w:val="24"/>
                <w:szCs w:val="24"/>
                <w:lang w:eastAsia="zh-CN"/>
              </w:rPr>
            </w:pPr>
          </w:p>
          <w:p>
            <w:pPr>
              <w:spacing w:line="320" w:lineRule="exact"/>
              <w:rPr>
                <w:rFonts w:hint="eastAsia" w:ascii="黑体" w:hAnsi="黑体" w:eastAsia="黑体" w:cs="黑体"/>
                <w:sz w:val="24"/>
                <w:szCs w:val="24"/>
                <w:lang w:eastAsia="zh-CN"/>
              </w:rPr>
            </w:pPr>
            <w:r>
              <w:rPr>
                <w:rFonts w:hint="eastAsia" w:ascii="黑体" w:hAnsi="黑体" w:eastAsia="黑体" w:cs="黑体"/>
                <w:b w:val="0"/>
                <w:bCs w:val="0"/>
                <w:sz w:val="24"/>
                <w:szCs w:val="24"/>
                <w:lang w:eastAsia="zh-CN"/>
              </w:rPr>
              <w:t>拓宽资金筹集渠道</w:t>
            </w:r>
          </w:p>
          <w:p>
            <w:pPr>
              <w:spacing w:line="320" w:lineRule="exact"/>
              <w:jc w:val="left"/>
              <w:rPr>
                <w:rFonts w:hint="eastAsia" w:ascii="黑体" w:hAnsi="黑体" w:eastAsia="黑体" w:cs="黑体"/>
                <w:sz w:val="24"/>
                <w:lang w:eastAsia="zh-CN"/>
              </w:rPr>
            </w:pPr>
          </w:p>
          <w:p>
            <w:pPr>
              <w:spacing w:line="320" w:lineRule="exact"/>
              <w:jc w:val="left"/>
              <w:rPr>
                <w:rFonts w:hint="eastAsia" w:ascii="黑体" w:hAnsi="黑体" w:eastAsia="黑体" w:cs="黑体"/>
                <w:b w:val="0"/>
                <w:bCs w:val="0"/>
                <w:sz w:val="24"/>
                <w:szCs w:val="24"/>
              </w:rPr>
            </w:pPr>
          </w:p>
        </w:tc>
        <w:tc>
          <w:tcPr>
            <w:tcW w:w="1366" w:type="dxa"/>
            <w:tcBorders>
              <w:top w:val="single" w:color="auto" w:sz="4" w:space="0"/>
              <w:left w:val="single" w:color="000000" w:sz="4" w:space="0"/>
            </w:tcBorders>
            <w:vAlign w:val="center"/>
          </w:tcPr>
          <w:p>
            <w:pPr>
              <w:spacing w:line="320" w:lineRule="exact"/>
              <w:rPr>
                <w:rFonts w:hint="eastAsia" w:ascii="楷体_GB2312" w:hAnsi="楷体_GB2312" w:eastAsia="楷体_GB2312" w:cs="楷体_GB2312"/>
                <w:b/>
                <w:bCs/>
                <w:sz w:val="24"/>
                <w:szCs w:val="24"/>
                <w:highlight w:val="none"/>
              </w:rPr>
            </w:pPr>
            <w:r>
              <w:rPr>
                <w:rFonts w:hint="eastAsia" w:ascii="楷体_GB2312" w:hAnsi="楷体_GB2312" w:eastAsia="楷体_GB2312" w:cs="楷体_GB2312"/>
                <w:b/>
                <w:bCs/>
                <w:sz w:val="24"/>
                <w:szCs w:val="24"/>
                <w:highlight w:val="none"/>
              </w:rPr>
              <w:t>（</w:t>
            </w:r>
            <w:r>
              <w:rPr>
                <w:rFonts w:hint="eastAsia" w:ascii="楷体_GB2312" w:hAnsi="楷体_GB2312" w:eastAsia="楷体_GB2312" w:cs="楷体_GB2312"/>
                <w:b/>
                <w:bCs/>
                <w:sz w:val="24"/>
                <w:szCs w:val="24"/>
                <w:highlight w:val="none"/>
                <w:lang w:val="en-US" w:eastAsia="zh-CN"/>
              </w:rPr>
              <w:t>二</w:t>
            </w:r>
            <w:r>
              <w:rPr>
                <w:rFonts w:hint="eastAsia" w:ascii="楷体_GB2312" w:hAnsi="楷体_GB2312" w:eastAsia="楷体_GB2312" w:cs="楷体_GB2312"/>
                <w:b/>
                <w:bCs/>
                <w:sz w:val="24"/>
                <w:szCs w:val="24"/>
                <w:highlight w:val="none"/>
              </w:rPr>
              <w:t>）吸引社会力量以市场化方式参与</w:t>
            </w:r>
          </w:p>
        </w:tc>
        <w:tc>
          <w:tcPr>
            <w:tcW w:w="107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山东省枣庄市出台支持城镇老旧小区改造十条措施，支持采用“改造+运营服务”一体化市场运作模式多渠道筹资，明确专营设施改造中政府、专营单位、居民出资分担比例，对于积极配合、投资老旧小区改造的专营单位，在国有企业经营考核、信用评价中予以加分奖励。2023年，全市吸引社会力量出资2.29亿元参与改造。比如，山亭区银山小区改造项目引导专营单位出资420万元，对水电气热信等设施应改尽改，吸引市场主体投资150万元，以使用者付费方式建设充电桩、快递柜、健身器材、直饮水机、智慧门禁等，社会力量合计出资570万元，占改造总投资的27%。</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河南省洛阳市洛龙区龙兴小区改造项目由区属国企作为投资、建设、运营主体,投入1.8亿元实施改造。成立特定项目公司，与居民签订小区公共空间特许经营等相关协议,利用小区红线内闲置的公共空间增加近20余项 可经营设施,包括新增约3700平方米的功能性经营性用房,盘活48套建筑面积共约6500平方米的闲置住宅,新增停车位750个。经测算,通过广告、停车位、养老、托育、充电桩、闲置住宅、商业租赁、物业服务、家政服务等运营收入,预计每年净收益约1800万元,10年内可全部收回成本。</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内蒙古自治区包头市友谊19街坊小区改造项目协调原产权单位将小区废弃的锅炉房、堆煤场产权移交昆都仑区政府，将堆煤场改造为小区活动广场，锅炉房加固改造为活动室、议事厅、食堂等多功能服务设施，引入中铁十局集团有限公司投资6000万元，在锅炉房院内闲置土地新建4层、建筑面积约5600平方米的养老服务设施，养老服务设施由中铁十局集团有限公司运营10年，经营期满后无偿移交给属地政府。</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color w:val="000000"/>
                <w:kern w:val="0"/>
                <w:sz w:val="24"/>
                <w:szCs w:val="24"/>
                <w:lang w:val="en-US" w:eastAsia="zh-CN"/>
              </w:rPr>
              <w:t>5．陕西省铜川市王益区馨苑小区为矿区职工家属居住区，现有住宅楼17栋，居民730户，实施老旧小区改造中，统筹规划小区内及周边的闲置空地、空置厂房等资源共2600余平方米，通过整体打包出租方式引入社会资本累计投资2000万元，建设新能源汽车快速充电站，以及将空置厂房改造成设有篮球馆、游泳馆、健身室、羽毛球场等室内综合健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455" w:type="dxa"/>
            <w:vMerge w:val="continue"/>
            <w:tcBorders>
              <w:left w:val="single" w:color="000000" w:sz="4" w:space="0"/>
            </w:tcBorders>
            <w:vAlign w:val="center"/>
          </w:tcPr>
          <w:p>
            <w:pPr>
              <w:rPr>
                <w:rFonts w:hint="eastAsia"/>
              </w:rPr>
            </w:pPr>
          </w:p>
        </w:tc>
        <w:tc>
          <w:tcPr>
            <w:tcW w:w="964" w:type="dxa"/>
            <w:vMerge w:val="continue"/>
            <w:tcBorders>
              <w:right w:val="single" w:color="000000" w:sz="4" w:space="0"/>
            </w:tcBorders>
            <w:vAlign w:val="center"/>
          </w:tcPr>
          <w:p>
            <w:pPr>
              <w:spacing w:line="320" w:lineRule="exact"/>
              <w:jc w:val="left"/>
              <w:rPr>
                <w:rFonts w:hint="eastAsia" w:ascii="黑体" w:hAnsi="黑体" w:eastAsia="黑体" w:cs="黑体"/>
                <w:b w:val="0"/>
                <w:bCs w:val="0"/>
                <w:sz w:val="24"/>
                <w:szCs w:val="24"/>
              </w:rPr>
            </w:pPr>
          </w:p>
        </w:tc>
        <w:tc>
          <w:tcPr>
            <w:tcW w:w="1366" w:type="dxa"/>
            <w:tcBorders>
              <w:top w:val="single" w:color="auto" w:sz="4" w:space="0"/>
              <w:left w:val="single" w:color="000000" w:sz="4" w:space="0"/>
            </w:tcBorders>
            <w:vAlign w:val="center"/>
          </w:tcPr>
          <w:p>
            <w:pPr>
              <w:spacing w:line="320" w:lineRule="exact"/>
              <w:rPr>
                <w:rFonts w:hint="eastAsia" w:ascii="楷体_GB2312" w:hAnsi="楷体_GB2312" w:eastAsia="楷体_GB2312" w:cs="楷体_GB2312"/>
                <w:b/>
                <w:bCs/>
                <w:sz w:val="24"/>
                <w:szCs w:val="24"/>
                <w:highlight w:val="none"/>
              </w:rPr>
            </w:pPr>
          </w:p>
        </w:tc>
        <w:tc>
          <w:tcPr>
            <w:tcW w:w="107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山东省济南市通过开展地方政府专项债专题学习培训、研讨座谈，让申报主体熟知申请条件和流程，做到早谋划、早包装、早立项，在时间上争得先机。项目谋划上，以区县为单位整合打包立项，改造内容做到基础类、改善类、提升类全涵盖，充分发掘基础设施、民生服务设施收益点。2023年，济南市8个区县共申请地方政府专项债额度21.17亿元、已发行16.5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455" w:type="dxa"/>
            <w:vMerge w:val="continue"/>
            <w:tcBorders>
              <w:left w:val="single" w:color="000000" w:sz="4" w:space="0"/>
            </w:tcBorders>
            <w:vAlign w:val="center"/>
          </w:tcPr>
          <w:p>
            <w:pPr>
              <w:rPr>
                <w:rFonts w:hint="eastAsia"/>
              </w:rPr>
            </w:pPr>
          </w:p>
        </w:tc>
        <w:tc>
          <w:tcPr>
            <w:tcW w:w="964" w:type="dxa"/>
            <w:vMerge w:val="continue"/>
            <w:tcBorders>
              <w:right w:val="single" w:color="000000" w:sz="4" w:space="0"/>
            </w:tcBorders>
            <w:vAlign w:val="center"/>
          </w:tcPr>
          <w:p>
            <w:pPr>
              <w:spacing w:line="320" w:lineRule="exact"/>
              <w:jc w:val="center"/>
              <w:rPr>
                <w:rFonts w:hint="eastAsia" w:ascii="楷体_GB2312" w:hAnsi="楷体_GB2312" w:eastAsia="楷体_GB2312" w:cs="楷体_GB2312"/>
                <w:b/>
                <w:bCs/>
                <w:sz w:val="24"/>
                <w:szCs w:val="24"/>
              </w:rPr>
            </w:pPr>
          </w:p>
        </w:tc>
        <w:tc>
          <w:tcPr>
            <w:tcW w:w="1366" w:type="dxa"/>
            <w:vAlign w:val="center"/>
          </w:tcPr>
          <w:p>
            <w:pPr>
              <w:spacing w:line="320" w:lineRule="exact"/>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三</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zh-CN" w:eastAsia="zh-CN"/>
              </w:rPr>
              <w:t>发行地方政府专项债券</w:t>
            </w:r>
          </w:p>
        </w:tc>
        <w:tc>
          <w:tcPr>
            <w:tcW w:w="107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湖南省怀化市整合全市老旧小区改造项目的停车费、充电桩服务费、物业费、广告费等收入，作为地方政府专项债收益主要来源，满足专项债本息覆盖率要求，破解单个小区规模小、空间窄、收益低问题。2022年、2023年全市分别发行地方政府专项债7.13亿元、4.3亿元用于城镇老旧小区改造项目。</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3．安徽省芜湖市镜湖区将辖区范围内9个片区、60个老旧小区改造打包成1个项目，以片区内停车位、充电桩和广告位、闲置空间等资产运营收入用于项目的还本付息，发行</w:t>
            </w:r>
            <w:r>
              <w:rPr>
                <w:rFonts w:hint="eastAsia" w:ascii="仿宋_GB2312" w:hAnsi="仿宋_GB2312" w:eastAsia="仿宋_GB2312" w:cs="仿宋_GB2312"/>
                <w:b w:val="0"/>
                <w:bCs w:val="0"/>
                <w:color w:val="000000"/>
                <w:kern w:val="0"/>
                <w:sz w:val="24"/>
                <w:szCs w:val="24"/>
                <w:lang w:val="en-US" w:eastAsia="zh-CN"/>
              </w:rPr>
              <w:t>15年</w:t>
            </w:r>
            <w:r>
              <w:rPr>
                <w:rFonts w:hint="eastAsia" w:ascii="仿宋_GB2312" w:hAnsi="仿宋_GB2312" w:eastAsia="仿宋_GB2312" w:cs="仿宋_GB2312"/>
                <w:color w:val="000000"/>
                <w:kern w:val="0"/>
                <w:sz w:val="24"/>
                <w:szCs w:val="24"/>
                <w:lang w:val="en-US" w:eastAsia="zh-CN"/>
              </w:rPr>
              <w:t>期限的地方政府专项债5亿元，占项目总投资的72%。</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甘肃省嘉峪关市住房城乡建设部门加强与发展改革、财政等部门对接，结合当地老旧小区改造“十四五”专项规划，分批次建立城镇老旧小区改造发行地方政府专项债项目储备库，会同街道社区、专营单位、产权单位、金融机构等，共同策划改造项目融资方案，将多个小区整合为片区项目，充分挖掘改造片区内增设停车位收费、公共充电设施收入、物业费、公共区域广告费、闲置用房租赁等收益点，打包申请发行地方政府专项债。自2020年以来，共发行5批地方政府专项债约2.5亿元用于城镇老旧小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jc w:val="center"/>
        </w:trPr>
        <w:tc>
          <w:tcPr>
            <w:tcW w:w="455" w:type="dxa"/>
            <w:vMerge w:val="continue"/>
            <w:tcBorders>
              <w:left w:val="single" w:color="000000" w:sz="4" w:space="0"/>
            </w:tcBorders>
            <w:vAlign w:val="center"/>
          </w:tcPr>
          <w:p>
            <w:pPr>
              <w:rPr>
                <w:rFonts w:hint="eastAsia"/>
              </w:rPr>
            </w:pPr>
          </w:p>
        </w:tc>
        <w:tc>
          <w:tcPr>
            <w:tcW w:w="964" w:type="dxa"/>
            <w:vMerge w:val="continue"/>
            <w:tcBorders>
              <w:right w:val="single" w:color="000000" w:sz="4" w:space="0"/>
            </w:tcBorders>
            <w:vAlign w:val="center"/>
          </w:tcPr>
          <w:p>
            <w:pPr>
              <w:spacing w:line="320" w:lineRule="exact"/>
              <w:jc w:val="center"/>
              <w:rPr>
                <w:rFonts w:hint="eastAsia" w:ascii="楷体_GB2312" w:hAnsi="楷体_GB2312" w:eastAsia="楷体_GB2312" w:cs="楷体_GB2312"/>
                <w:b/>
                <w:bCs/>
                <w:sz w:val="24"/>
                <w:szCs w:val="24"/>
              </w:rPr>
            </w:pPr>
          </w:p>
        </w:tc>
        <w:tc>
          <w:tcPr>
            <w:tcW w:w="1366" w:type="dxa"/>
            <w:vAlign w:val="center"/>
          </w:tcPr>
          <w:p>
            <w:pPr>
              <w:spacing w:line="320" w:lineRule="exact"/>
              <w:rPr>
                <w:rFonts w:hint="eastAsia" w:ascii="楷体_GB2312" w:hAnsi="楷体_GB2312" w:eastAsia="楷体_GB2312" w:cs="楷体_GB2312"/>
                <w:b/>
                <w:bCs/>
                <w:sz w:val="24"/>
                <w:szCs w:val="24"/>
                <w:lang w:val="zh-CN" w:eastAsia="zh-CN"/>
              </w:rPr>
            </w:pPr>
            <w:r>
              <w:rPr>
                <w:rFonts w:hint="eastAsia" w:ascii="楷体_GB2312" w:hAnsi="楷体_GB2312" w:eastAsia="楷体_GB2312" w:cs="楷体_GB2312"/>
                <w:b/>
                <w:bCs/>
                <w:sz w:val="24"/>
                <w:szCs w:val="24"/>
                <w:lang w:val="zh-CN" w:eastAsia="zh-CN"/>
              </w:rPr>
              <w:t>（</w:t>
            </w:r>
            <w:r>
              <w:rPr>
                <w:rFonts w:hint="eastAsia" w:ascii="楷体_GB2312" w:hAnsi="楷体_GB2312" w:eastAsia="楷体_GB2312" w:cs="楷体_GB2312"/>
                <w:b/>
                <w:bCs/>
                <w:sz w:val="24"/>
                <w:szCs w:val="24"/>
                <w:lang w:val="en-US" w:eastAsia="zh-CN"/>
              </w:rPr>
              <w:t>四</w:t>
            </w:r>
            <w:r>
              <w:rPr>
                <w:rFonts w:hint="eastAsia" w:ascii="楷体_GB2312" w:hAnsi="楷体_GB2312" w:eastAsia="楷体_GB2312" w:cs="楷体_GB2312"/>
                <w:b/>
                <w:bCs/>
                <w:sz w:val="24"/>
                <w:szCs w:val="24"/>
                <w:lang w:val="zh-CN" w:eastAsia="zh-CN"/>
              </w:rPr>
              <w:t>）省级安排补助资金</w:t>
            </w:r>
          </w:p>
          <w:p>
            <w:pPr>
              <w:spacing w:line="320" w:lineRule="exact"/>
              <w:rPr>
                <w:rFonts w:hint="eastAsia" w:ascii="楷体_GB2312" w:hAnsi="楷体_GB2312" w:eastAsia="楷体_GB2312" w:cs="楷体_GB2312"/>
                <w:b/>
                <w:bCs/>
                <w:sz w:val="24"/>
                <w:szCs w:val="24"/>
                <w:lang w:eastAsia="zh-CN"/>
              </w:rPr>
            </w:pPr>
          </w:p>
        </w:tc>
        <w:tc>
          <w:tcPr>
            <w:tcW w:w="107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四川省设立省级保障性安居工程老旧小区改造专项补助资金，近三年省财政年均安排补助资金约9亿元支持市县城镇老旧小区改造，与驻川金融机构签订战略合作协议，定期发布“机会清单”，吸引社会力量参与，多措并举增强中央和省级财政补助资金引导作用。同时建立改造成效评价制度，对每个完成改造的小区从22个方面88项逐项赋分进行评价，注重居民代表全程参与和评价结果公开公示，使老旧小区改造成效可量化、可考核，提高补助资金使用绩效。</w:t>
            </w:r>
          </w:p>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山东省自2020年起，省财政每年列支5—8亿元，按照因素法对全省老旧小区改造项目给予资金补助。补助资金纳入预算执行监督重点范围，每年聘请第三方开展绩效评价，评价结果与下一年度补助系数挂钩。2023年起，将城镇老旧小区改造纳入省委、省政府对区（市、县）督查激励内容，每年择优评出4个区（市、县），省财政分别奖励200万元。</w:t>
            </w:r>
          </w:p>
          <w:p>
            <w:pPr>
              <w:keepNext w:val="0"/>
              <w:keepLines w:val="0"/>
              <w:pageBreakBefore w:val="0"/>
              <w:widowControl w:val="0"/>
              <w:kinsoku/>
              <w:wordWrap/>
              <w:overflowPunct/>
              <w:topLinePunct w:val="0"/>
              <w:autoSpaceDE/>
              <w:autoSpaceDN/>
              <w:bidi w:val="0"/>
              <w:adjustRightInd/>
              <w:snapToGrid/>
              <w:spacing w:line="320" w:lineRule="exact"/>
              <w:ind w:firstLine="482"/>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河南省连续4年将城镇老旧小区改造纳入省重点民生实事强力推进，累计安排省级财政补助资金23.8亿元用于市县城镇老旧小区改造项目。补助资金由省财政直接拨付至市、县，将资金使用管理情况纳入民生实事考核内容，实行量化管理，确保专款专用。省财政年底统一收回进度慢、资金拨付比例低的市县未支出资金，调整给支出进度快、项目实施好的市县，有效提高财政资金的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jc w:val="center"/>
        </w:trPr>
        <w:tc>
          <w:tcPr>
            <w:tcW w:w="455" w:type="dxa"/>
            <w:vMerge w:val="restart"/>
            <w:vAlign w:val="center"/>
          </w:tcPr>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p>
          <w:p>
            <w:pPr>
              <w:spacing w:line="320" w:lineRule="exact"/>
              <w:jc w:val="center"/>
              <w:rPr>
                <w:rFonts w:hint="eastAsia" w:ascii="黑体" w:hAnsi="黑体" w:eastAsia="黑体" w:cs="黑体"/>
                <w:sz w:val="24"/>
                <w:szCs w:val="32"/>
                <w:lang w:eastAsia="zh-CN"/>
              </w:rPr>
            </w:pPr>
            <w:r>
              <w:rPr>
                <w:rFonts w:hint="eastAsia" w:ascii="黑体" w:hAnsi="黑体" w:eastAsia="黑体" w:cs="黑体"/>
                <w:sz w:val="24"/>
                <w:szCs w:val="32"/>
                <w:lang w:eastAsia="zh-CN"/>
              </w:rPr>
              <w:t>三</w:t>
            </w:r>
          </w:p>
          <w:p>
            <w:pPr>
              <w:pStyle w:val="6"/>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pStyle w:val="6"/>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pStyle w:val="6"/>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pStyle w:val="6"/>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pStyle w:val="6"/>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pStyle w:val="6"/>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pStyle w:val="6"/>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pStyle w:val="6"/>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pStyle w:val="6"/>
              <w:rPr>
                <w:rFonts w:hint="eastAsia"/>
                <w:lang w:eastAsia="zh-CN"/>
              </w:rPr>
            </w:pPr>
          </w:p>
          <w:p>
            <w:pPr>
              <w:rPr>
                <w:rFonts w:hint="eastAsia" w:ascii="黑体" w:hAnsi="黑体" w:eastAsia="黑体" w:cs="黑体"/>
                <w:sz w:val="24"/>
                <w:szCs w:val="32"/>
                <w:lang w:eastAsia="zh-CN"/>
              </w:rPr>
            </w:pPr>
          </w:p>
          <w:p>
            <w:pPr>
              <w:pStyle w:val="6"/>
              <w:rPr>
                <w:rFonts w:hint="eastAsia"/>
                <w:lang w:eastAsia="zh-CN"/>
              </w:rPr>
            </w:pPr>
          </w:p>
          <w:p>
            <w:pPr>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rPr>
                <w:rFonts w:hint="eastAsia" w:ascii="黑体" w:hAnsi="黑体" w:eastAsia="黑体" w:cs="黑体"/>
                <w:sz w:val="24"/>
                <w:szCs w:val="32"/>
                <w:lang w:eastAsia="zh-CN"/>
              </w:rPr>
            </w:pPr>
          </w:p>
          <w:p>
            <w:pPr>
              <w:rPr>
                <w:rFonts w:hint="eastAsia"/>
                <w:lang w:val="en-US" w:eastAsia="zh-CN"/>
              </w:rPr>
            </w:pPr>
            <w:r>
              <w:rPr>
                <w:rFonts w:hint="eastAsia" w:ascii="黑体" w:hAnsi="黑体" w:eastAsia="黑体" w:cs="黑体"/>
                <w:sz w:val="24"/>
                <w:szCs w:val="32"/>
                <w:lang w:eastAsia="zh-CN"/>
              </w:rPr>
              <w:t>三</w:t>
            </w:r>
          </w:p>
        </w:tc>
        <w:tc>
          <w:tcPr>
            <w:tcW w:w="964" w:type="dxa"/>
            <w:vMerge w:val="restart"/>
            <w:vAlign w:val="center"/>
          </w:tcPr>
          <w:p>
            <w:pPr>
              <w:pStyle w:val="7"/>
              <w:jc w:val="both"/>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lang w:eastAsia="zh-CN"/>
              </w:rPr>
            </w:pPr>
          </w:p>
          <w:p>
            <w:pPr>
              <w:spacing w:line="320" w:lineRule="exact"/>
              <w:jc w:val="center"/>
              <w:rPr>
                <w:rFonts w:hint="eastAsia" w:ascii="黑体" w:hAnsi="黑体" w:eastAsia="黑体" w:cs="黑体"/>
                <w:sz w:val="24"/>
                <w:szCs w:val="24"/>
                <w:lang w:eastAsia="zh-CN"/>
              </w:rPr>
            </w:pPr>
          </w:p>
          <w:p>
            <w:pPr>
              <w:spacing w:line="320" w:lineRule="exact"/>
              <w:jc w:val="center"/>
              <w:rPr>
                <w:rFonts w:hint="eastAsia" w:ascii="黑体" w:hAnsi="黑体" w:eastAsia="黑体" w:cs="黑体"/>
                <w:sz w:val="24"/>
                <w:szCs w:val="24"/>
                <w:lang w:eastAsia="zh-CN"/>
              </w:rPr>
            </w:pPr>
          </w:p>
          <w:p>
            <w:pPr>
              <w:spacing w:line="320" w:lineRule="exact"/>
              <w:jc w:val="center"/>
              <w:rPr>
                <w:rFonts w:hint="eastAsia" w:ascii="黑体" w:hAnsi="黑体" w:eastAsia="黑体" w:cs="黑体"/>
                <w:sz w:val="24"/>
                <w:szCs w:val="24"/>
                <w:lang w:eastAsia="zh-CN"/>
              </w:rPr>
            </w:pPr>
          </w:p>
          <w:p>
            <w:pPr>
              <w:spacing w:line="320" w:lineRule="exact"/>
              <w:jc w:val="center"/>
              <w:rPr>
                <w:rFonts w:hint="eastAsia" w:ascii="黑体" w:hAnsi="黑体" w:eastAsia="黑体" w:cs="黑体"/>
                <w:sz w:val="24"/>
                <w:szCs w:val="24"/>
                <w:lang w:eastAsia="zh-CN"/>
              </w:rPr>
            </w:pPr>
          </w:p>
          <w:p>
            <w:pPr>
              <w:spacing w:line="320" w:lineRule="exact"/>
              <w:jc w:val="center"/>
              <w:rPr>
                <w:rFonts w:hint="eastAsia" w:ascii="黑体" w:hAnsi="黑体" w:eastAsia="黑体" w:cs="黑体"/>
                <w:sz w:val="24"/>
                <w:szCs w:val="24"/>
                <w:lang w:eastAsia="zh-CN"/>
              </w:rPr>
            </w:pPr>
          </w:p>
          <w:p>
            <w:pPr>
              <w:spacing w:line="320" w:lineRule="exact"/>
              <w:jc w:val="center"/>
              <w:rPr>
                <w:rFonts w:hint="eastAsia" w:ascii="黑体" w:hAnsi="黑体" w:eastAsia="黑体" w:cs="黑体"/>
                <w:sz w:val="24"/>
                <w:szCs w:val="24"/>
                <w:lang w:eastAsia="zh-CN"/>
              </w:rPr>
            </w:pPr>
          </w:p>
          <w:p>
            <w:pPr>
              <w:spacing w:line="320" w:lineRule="exact"/>
              <w:jc w:val="center"/>
              <w:rPr>
                <w:rFonts w:hint="eastAsia" w:ascii="黑体" w:hAnsi="黑体" w:eastAsia="黑体" w:cs="黑体"/>
                <w:sz w:val="24"/>
                <w:szCs w:val="24"/>
                <w:lang w:eastAsia="zh-CN"/>
              </w:rPr>
            </w:pPr>
          </w:p>
          <w:p>
            <w:pPr>
              <w:spacing w:line="320" w:lineRule="exact"/>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健全长效管理机制</w:t>
            </w: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pStyle w:val="6"/>
              <w:rPr>
                <w:rFonts w:hint="eastAsia"/>
                <w:lang w:eastAsia="zh-CN"/>
              </w:rPr>
            </w:pPr>
          </w:p>
          <w:p>
            <w:pPr>
              <w:pStyle w:val="6"/>
              <w:rPr>
                <w:rFonts w:hint="eastAsia"/>
                <w:lang w:eastAsia="zh-CN"/>
              </w:rPr>
            </w:pPr>
          </w:p>
          <w:p>
            <w:pPr>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rPr>
                <w:rFonts w:hint="eastAsia" w:ascii="黑体" w:hAnsi="黑体" w:eastAsia="黑体" w:cs="黑体"/>
                <w:sz w:val="24"/>
                <w:szCs w:val="24"/>
                <w:lang w:eastAsia="zh-CN"/>
              </w:rPr>
            </w:pPr>
          </w:p>
          <w:p>
            <w:pPr>
              <w:rPr>
                <w:rFonts w:hint="eastAsia"/>
                <w:lang w:eastAsia="zh-CN"/>
              </w:rPr>
            </w:pPr>
            <w:r>
              <w:rPr>
                <w:rFonts w:hint="eastAsia" w:ascii="黑体" w:hAnsi="黑体" w:eastAsia="黑体" w:cs="黑体"/>
                <w:sz w:val="24"/>
                <w:szCs w:val="24"/>
                <w:lang w:eastAsia="zh-CN"/>
              </w:rPr>
              <w:t>健全长效管理机制</w:t>
            </w:r>
          </w:p>
        </w:tc>
        <w:tc>
          <w:tcPr>
            <w:tcW w:w="1366" w:type="dxa"/>
            <w:vAlign w:val="center"/>
          </w:tcPr>
          <w:p>
            <w:pPr>
              <w:pStyle w:val="11"/>
              <w:spacing w:line="320" w:lineRule="exact"/>
              <w:ind w:left="0" w:leftChars="0" w:firstLine="0" w:firstLineChars="0"/>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val="en-US" w:eastAsia="zh-CN"/>
              </w:rPr>
              <w:t>（一）提升小区治理能力</w:t>
            </w:r>
          </w:p>
        </w:tc>
        <w:tc>
          <w:tcPr>
            <w:tcW w:w="107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1．四川省委城乡基层治理委员会办公室印发《城市老旧小区（院落）治理</w:t>
            </w:r>
            <w:r>
              <w:rPr>
                <w:rFonts w:hint="eastAsia" w:ascii="仿宋_GB2312" w:hAnsi="仿宋_GB2312" w:eastAsia="仿宋_GB2312" w:cs="仿宋_GB2312"/>
                <w:color w:val="000000"/>
                <w:kern w:val="0"/>
                <w:sz w:val="24"/>
                <w:szCs w:val="24"/>
                <w:highlight w:val="none"/>
                <w:lang w:val="en-US" w:eastAsia="zh-CN"/>
              </w:rPr>
              <w:t>补短提质</w:t>
            </w:r>
            <w:r>
              <w:rPr>
                <w:rFonts w:hint="eastAsia" w:ascii="仿宋_GB2312" w:hAnsi="仿宋_GB2312" w:eastAsia="仿宋_GB2312" w:cs="仿宋_GB2312"/>
                <w:color w:val="000000"/>
                <w:kern w:val="0"/>
                <w:sz w:val="24"/>
                <w:szCs w:val="24"/>
                <w:lang w:val="en-US" w:eastAsia="zh-CN"/>
              </w:rPr>
              <w:t>行动方案》，住房城乡建设厅联合省委组织部、民政厅等部门分工合作，协同推进全省纳入2022、2023年改造计划的10000个老旧小区治理补短提质行动，逐小区对物业管理情况摸底排查、一区一策拟定物业管理服务提升方案，同步建立党组织和居民自治组织，引导居民因地制宜采用市场化物业服务、居民自管等模式，着力实现老旧小区“组织体系健全、治理机制健全、基础设施提升、管理服务提升”的工作目标。比如，成都市积极推进老旧小区治理补短提质行动，印发《成都市老旧小区推进物业服务专项行动方案》，引导小区自治组织组织业主依法共同决定选择适合本小区的物业服务方式，鼓励居民选用市政服务与物业服务相结合方式、成片引入物业管理方式、街区共享物业服务方式、信托制物业服务方式等，推动老旧小区实现“秩序安全有序、环境干净整洁、设施维修及时、服务质价相符、管理公开透明”。</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0"/>
              <w:textAlignment w:val="auto"/>
              <w:outlineLvl w:val="9"/>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湖南省株洲市荷塘区搭建智慧物业管理平台，破解老旧小区物业管理难题。如聚焦“知情难、监督难”问题，定期公示小区物业管理信息、财务收支、维修资金使用等公共事务信息，由业主、业委会、社区、主管部门共同监督，定期组织业主在线满意度测评，破解业主和物业之间的“信任危机”。聚焦“表决难”问题，提供业主共同决定事项线上表决等功能，解决线下表决人员召集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jc w:val="center"/>
        </w:trPr>
        <w:tc>
          <w:tcPr>
            <w:tcW w:w="455" w:type="dxa"/>
            <w:vMerge w:val="continue"/>
            <w:vAlign w:val="center"/>
          </w:tcPr>
          <w:p>
            <w:pPr>
              <w:rPr>
                <w:rFonts w:hint="eastAsia" w:ascii="黑体" w:hAnsi="黑体" w:eastAsia="黑体" w:cs="黑体"/>
                <w:sz w:val="24"/>
                <w:szCs w:val="32"/>
                <w:lang w:eastAsia="zh-CN"/>
              </w:rPr>
            </w:pPr>
          </w:p>
        </w:tc>
        <w:tc>
          <w:tcPr>
            <w:tcW w:w="964" w:type="dxa"/>
            <w:vMerge w:val="continue"/>
            <w:vAlign w:val="center"/>
          </w:tcPr>
          <w:p>
            <w:pPr>
              <w:rPr>
                <w:rFonts w:hint="eastAsia" w:ascii="黑体" w:hAnsi="黑体" w:eastAsia="黑体" w:cs="黑体"/>
                <w:sz w:val="24"/>
                <w:szCs w:val="24"/>
                <w:lang w:eastAsia="zh-CN"/>
              </w:rPr>
            </w:pPr>
          </w:p>
        </w:tc>
        <w:tc>
          <w:tcPr>
            <w:tcW w:w="1366" w:type="dxa"/>
            <w:vAlign w:val="center"/>
          </w:tcPr>
          <w:p>
            <w:pPr>
              <w:pStyle w:val="11"/>
              <w:spacing w:line="320" w:lineRule="exact"/>
              <w:ind w:left="0" w:leftChars="0" w:firstLine="0" w:firstLineChars="0"/>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color w:val="auto"/>
                <w:sz w:val="24"/>
                <w:szCs w:val="24"/>
                <w:lang w:bidi="zh-CN"/>
              </w:rPr>
              <w:t>（二）探索物业管理新模式</w:t>
            </w:r>
          </w:p>
        </w:tc>
        <w:tc>
          <w:tcPr>
            <w:tcW w:w="10758" w:type="dxa"/>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val="en-US" w:eastAsia="zh-CN"/>
              </w:rPr>
              <w:t>．浙江省杭州市西湖区翠苑街道片区老旧小区改造项目探索“大物管”模式，推动从小区“小物管”到街区“大物管”转变，实现资源集约整合、服务供给高效、管理成本降低，形成政府少投入、百姓享服务、企业增效益可持续发展局面。</w:t>
            </w:r>
            <w:r>
              <w:rPr>
                <w:rFonts w:hint="eastAsia" w:ascii="仿宋_GB2312" w:hAnsi="仿宋_GB2312" w:eastAsia="仿宋_GB2312" w:cs="仿宋_GB2312"/>
                <w:b/>
                <w:bCs/>
                <w:color w:val="000000"/>
                <w:kern w:val="0"/>
                <w:sz w:val="24"/>
                <w:szCs w:val="24"/>
                <w:lang w:val="en-US" w:eastAsia="zh-CN"/>
              </w:rPr>
              <w:t>一是</w:t>
            </w:r>
            <w:r>
              <w:rPr>
                <w:rFonts w:hint="eastAsia" w:ascii="仿宋_GB2312" w:hAnsi="仿宋_GB2312" w:eastAsia="仿宋_GB2312" w:cs="仿宋_GB2312"/>
                <w:color w:val="000000"/>
                <w:kern w:val="0"/>
                <w:sz w:val="24"/>
                <w:szCs w:val="24"/>
                <w:lang w:val="en-US" w:eastAsia="zh-CN"/>
              </w:rPr>
              <w:t>推动物业服务企业拓展服务区域。翠苑街道片区改造项目涉及43个老旧小区，</w:t>
            </w:r>
            <w:r>
              <w:rPr>
                <w:rFonts w:hint="eastAsia" w:ascii="仿宋_GB2312" w:hAnsi="仿宋_GB2312" w:cs="仿宋_GB2312"/>
                <w:color w:val="000000"/>
                <w:kern w:val="0"/>
                <w:sz w:val="24"/>
                <w:szCs w:val="24"/>
                <w:lang w:val="en-US" w:eastAsia="zh-CN"/>
              </w:rPr>
              <w:t>改造前</w:t>
            </w:r>
            <w:r>
              <w:rPr>
                <w:rFonts w:hint="eastAsia" w:ascii="仿宋_GB2312" w:hAnsi="仿宋_GB2312" w:eastAsia="仿宋_GB2312" w:cs="仿宋_GB2312"/>
                <w:color w:val="000000"/>
                <w:kern w:val="0"/>
                <w:sz w:val="24"/>
                <w:szCs w:val="24"/>
                <w:lang w:val="en-US" w:eastAsia="zh-CN"/>
              </w:rPr>
              <w:t>24个为兜底型物业、19个无物业，</w:t>
            </w:r>
            <w:r>
              <w:rPr>
                <w:rFonts w:hint="eastAsia" w:ascii="仿宋_GB2312" w:hAnsi="仿宋_GB2312" w:cs="仿宋_GB2312"/>
                <w:color w:val="000000"/>
                <w:kern w:val="0"/>
                <w:sz w:val="24"/>
                <w:szCs w:val="24"/>
                <w:lang w:val="en-US" w:eastAsia="zh-CN"/>
              </w:rPr>
              <w:t>改造中</w:t>
            </w:r>
            <w:r>
              <w:rPr>
                <w:rFonts w:hint="eastAsia" w:ascii="仿宋_GB2312" w:hAnsi="仿宋_GB2312" w:eastAsia="仿宋_GB2312" w:cs="仿宋_GB2312"/>
                <w:color w:val="000000"/>
                <w:kern w:val="0"/>
                <w:sz w:val="24"/>
                <w:szCs w:val="24"/>
                <w:lang w:val="en-US" w:eastAsia="zh-CN"/>
              </w:rPr>
              <w:t>经各小区业主同意，引入1个“大物业公司”统一提供专业化物业服务。同时，街道将小区周边街巷保洁维护等服务内容，通过打包招标、购买服务的方式委托该企业统管。</w:t>
            </w:r>
            <w:r>
              <w:rPr>
                <w:rFonts w:hint="eastAsia" w:ascii="仿宋_GB2312" w:hAnsi="仿宋_GB2312" w:eastAsia="仿宋_GB2312" w:cs="仿宋_GB2312"/>
                <w:b/>
                <w:bCs/>
                <w:color w:val="000000"/>
                <w:kern w:val="0"/>
                <w:sz w:val="24"/>
                <w:szCs w:val="24"/>
                <w:lang w:val="en-US" w:eastAsia="zh-CN"/>
              </w:rPr>
              <w:t>二是</w:t>
            </w:r>
            <w:r>
              <w:rPr>
                <w:rFonts w:hint="eastAsia" w:ascii="仿宋_GB2312" w:hAnsi="仿宋_GB2312" w:eastAsia="仿宋_GB2312" w:cs="仿宋_GB2312"/>
                <w:color w:val="000000"/>
                <w:kern w:val="0"/>
                <w:sz w:val="24"/>
                <w:szCs w:val="24"/>
                <w:lang w:val="en-US" w:eastAsia="zh-CN"/>
              </w:rPr>
              <w:t>推动物业服务企业拓展服务内容。将结合改造增设的老年食堂、托育点、邻里中心等服务设施统一交由大物业公司运营，为居民提供助餐、送餐、居家照料、托育、暑假培训等10余项增值服务。</w:t>
            </w:r>
            <w:r>
              <w:rPr>
                <w:rFonts w:hint="eastAsia" w:ascii="仿宋_GB2312" w:hAnsi="仿宋_GB2312" w:eastAsia="仿宋_GB2312" w:cs="仿宋_GB2312"/>
                <w:b/>
                <w:bCs/>
                <w:color w:val="000000"/>
                <w:kern w:val="0"/>
                <w:sz w:val="24"/>
                <w:szCs w:val="24"/>
                <w:lang w:val="en-US" w:eastAsia="zh-CN"/>
              </w:rPr>
              <w:t>三是</w:t>
            </w:r>
            <w:r>
              <w:rPr>
                <w:rFonts w:hint="eastAsia" w:ascii="仿宋_GB2312" w:hAnsi="仿宋_GB2312" w:eastAsia="仿宋_GB2312" w:cs="仿宋_GB2312"/>
                <w:color w:val="000000"/>
                <w:kern w:val="0"/>
                <w:sz w:val="24"/>
                <w:szCs w:val="24"/>
                <w:lang w:val="en-US" w:eastAsia="zh-CN"/>
              </w:rPr>
              <w:t>推动资源整合增效。“大物业公司”入驻后对片区实施规模化管理，通过规范停车收费、设施运营、拓展服务项目、提高物业费收费率等措施，增加运营收入，降低了财政补助支出。据测算，街道对小区外相关购买服务以及对小区物业补贴</w:t>
            </w:r>
            <w:r>
              <w:rPr>
                <w:rFonts w:hint="eastAsia" w:ascii="仿宋_GB2312" w:hAnsi="仿宋_GB2312" w:cs="仿宋_GB2312"/>
                <w:color w:val="000000"/>
                <w:kern w:val="0"/>
                <w:sz w:val="24"/>
                <w:szCs w:val="24"/>
                <w:lang w:val="en-US" w:eastAsia="zh-CN"/>
              </w:rPr>
              <w:t>2项</w:t>
            </w:r>
            <w:r>
              <w:rPr>
                <w:rFonts w:hint="eastAsia" w:ascii="仿宋_GB2312" w:hAnsi="仿宋_GB2312" w:eastAsia="仿宋_GB2312" w:cs="仿宋_GB2312"/>
                <w:color w:val="000000"/>
                <w:kern w:val="0"/>
                <w:sz w:val="24"/>
                <w:szCs w:val="24"/>
                <w:lang w:val="en-US" w:eastAsia="zh-CN"/>
              </w:rPr>
              <w:t>支出</w:t>
            </w:r>
            <w:r>
              <w:rPr>
                <w:rFonts w:hint="eastAsia" w:ascii="仿宋_GB2312" w:hAnsi="仿宋_GB2312" w:cs="仿宋_GB2312"/>
                <w:color w:val="000000"/>
                <w:kern w:val="0"/>
                <w:sz w:val="24"/>
                <w:szCs w:val="24"/>
                <w:lang w:val="en-US" w:eastAsia="zh-CN"/>
              </w:rPr>
              <w:t>合计</w:t>
            </w:r>
            <w:r>
              <w:rPr>
                <w:rFonts w:hint="eastAsia" w:ascii="仿宋_GB2312" w:hAnsi="仿宋_GB2312" w:eastAsia="仿宋_GB2312" w:cs="仿宋_GB2312"/>
                <w:color w:val="000000"/>
                <w:kern w:val="0"/>
                <w:sz w:val="24"/>
                <w:szCs w:val="24"/>
                <w:lang w:val="en-US" w:eastAsia="zh-CN"/>
              </w:rPr>
              <w:t xml:space="preserve">减少近30%，后续有望再减少20%。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6" w:hRule="atLeast"/>
          <w:jc w:val="center"/>
        </w:trPr>
        <w:tc>
          <w:tcPr>
            <w:tcW w:w="455" w:type="dxa"/>
            <w:vMerge w:val="continue"/>
            <w:vAlign w:val="top"/>
          </w:tcPr>
          <w:p>
            <w:pPr>
              <w:spacing w:line="320" w:lineRule="exact"/>
              <w:jc w:val="left"/>
              <w:rPr>
                <w:rFonts w:hint="eastAsia" w:ascii="黑体" w:hAnsi="黑体" w:eastAsia="黑体" w:cs="黑体"/>
                <w:sz w:val="24"/>
                <w:szCs w:val="24"/>
              </w:rPr>
            </w:pPr>
          </w:p>
        </w:tc>
        <w:tc>
          <w:tcPr>
            <w:tcW w:w="964" w:type="dxa"/>
            <w:vMerge w:val="continue"/>
            <w:vAlign w:val="center"/>
          </w:tcPr>
          <w:p>
            <w:pPr>
              <w:spacing w:line="320" w:lineRule="exact"/>
              <w:jc w:val="center"/>
              <w:rPr>
                <w:rFonts w:hint="eastAsia" w:ascii="黑体" w:hAnsi="黑体" w:eastAsia="黑体" w:cs="黑体"/>
                <w:sz w:val="24"/>
                <w:szCs w:val="24"/>
              </w:rPr>
            </w:pPr>
          </w:p>
        </w:tc>
        <w:tc>
          <w:tcPr>
            <w:tcW w:w="1366" w:type="dxa"/>
            <w:vAlign w:val="center"/>
          </w:tcPr>
          <w:p>
            <w:pPr>
              <w:pStyle w:val="11"/>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color w:val="auto"/>
                <w:sz w:val="24"/>
                <w:szCs w:val="24"/>
                <w:lang w:bidi="zh-CN"/>
              </w:rPr>
              <w:t>（二）探索物业管理新模式</w:t>
            </w:r>
          </w:p>
        </w:tc>
        <w:tc>
          <w:tcPr>
            <w:tcW w:w="10758" w:type="dxa"/>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601"/>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lang w:val="en-US" w:eastAsia="zh-CN"/>
              </w:rPr>
              <w:t>．山东省济宁市探索在老旧小区推行“信托制”物业管理模式，</w:t>
            </w:r>
            <w:r>
              <w:rPr>
                <w:rFonts w:hint="eastAsia" w:ascii="仿宋_GB2312" w:hAnsi="仿宋_GB2312" w:cs="仿宋_GB2312"/>
                <w:color w:val="000000"/>
                <w:kern w:val="0"/>
                <w:sz w:val="24"/>
                <w:szCs w:val="24"/>
                <w:lang w:val="en-US" w:eastAsia="zh-CN"/>
              </w:rPr>
              <w:t>以小区业主大会为委托人、业主为受益人、物业企业为</w:t>
            </w:r>
            <w:r>
              <w:rPr>
                <w:rFonts w:hint="eastAsia" w:ascii="仿宋_GB2312" w:hAnsi="仿宋_GB2312" w:eastAsia="仿宋_GB2312" w:cs="仿宋_GB2312"/>
                <w:color w:val="000000"/>
                <w:kern w:val="0"/>
                <w:sz w:val="24"/>
                <w:szCs w:val="24"/>
                <w:lang w:val="en-US" w:eastAsia="zh-CN"/>
              </w:rPr>
              <w:t>受托人</w:t>
            </w:r>
            <w:r>
              <w:rPr>
                <w:rFonts w:hint="eastAsia" w:ascii="仿宋_GB2312" w:hAnsi="仿宋_GB2312" w:cs="仿宋_GB2312"/>
                <w:color w:val="000000"/>
                <w:kern w:val="0"/>
                <w:sz w:val="24"/>
                <w:szCs w:val="24"/>
                <w:lang w:val="en-US" w:eastAsia="zh-CN"/>
              </w:rPr>
              <w:t>，将物业费和小区公共收益设为全体业主共有的信托基金，通过签订物业信托服务合同，明确物业费的筹集与支付、服务酬金的支取、公共收益</w:t>
            </w:r>
            <w:r>
              <w:rPr>
                <w:rFonts w:hint="eastAsia" w:ascii="仿宋_GB2312" w:hAnsi="仿宋_GB2312" w:eastAsia="仿宋_GB2312" w:cs="仿宋_GB2312"/>
                <w:color w:val="000000"/>
                <w:kern w:val="0"/>
                <w:sz w:val="24"/>
                <w:szCs w:val="24"/>
                <w:lang w:val="en-US" w:eastAsia="zh-CN"/>
              </w:rPr>
              <w:t>的分配和审计等内容，物业费收支单独建账、单独核算，每月向业委会及业主公示财务报告，</w:t>
            </w:r>
            <w:r>
              <w:rPr>
                <w:rFonts w:hint="eastAsia" w:ascii="仿宋_GB2312" w:hAnsi="仿宋_GB2312" w:cs="仿宋_GB2312"/>
                <w:color w:val="000000"/>
                <w:kern w:val="0"/>
                <w:sz w:val="24"/>
                <w:szCs w:val="24"/>
                <w:lang w:val="en-US" w:eastAsia="zh-CN"/>
              </w:rPr>
              <w:t>保障</w:t>
            </w:r>
            <w:r>
              <w:rPr>
                <w:rFonts w:hint="eastAsia" w:ascii="仿宋_GB2312" w:hAnsi="仿宋_GB2312" w:eastAsia="仿宋_GB2312" w:cs="仿宋_GB2312"/>
                <w:color w:val="000000"/>
                <w:kern w:val="0"/>
                <w:sz w:val="24"/>
                <w:szCs w:val="24"/>
                <w:lang w:val="en-US" w:eastAsia="zh-CN"/>
              </w:rPr>
              <w:t>业主</w:t>
            </w:r>
            <w:r>
              <w:rPr>
                <w:rFonts w:hint="eastAsia" w:ascii="仿宋_GB2312" w:hAnsi="仿宋_GB2312" w:cs="仿宋_GB2312"/>
                <w:color w:val="000000"/>
                <w:kern w:val="0"/>
                <w:sz w:val="24"/>
                <w:szCs w:val="24"/>
                <w:lang w:val="en-US" w:eastAsia="zh-CN"/>
              </w:rPr>
              <w:t>对物业管理的</w:t>
            </w:r>
            <w:r>
              <w:rPr>
                <w:rFonts w:hint="eastAsia" w:ascii="仿宋_GB2312" w:hAnsi="仿宋_GB2312" w:eastAsia="仿宋_GB2312" w:cs="仿宋_GB2312"/>
                <w:color w:val="000000"/>
                <w:kern w:val="0"/>
                <w:sz w:val="24"/>
                <w:szCs w:val="24"/>
                <w:lang w:val="en-US" w:eastAsia="zh-CN"/>
              </w:rPr>
              <w:t>知情权</w:t>
            </w:r>
            <w:r>
              <w:rPr>
                <w:rFonts w:hint="eastAsia" w:ascii="仿宋_GB2312" w:hAnsi="仿宋_GB2312" w:cs="仿宋_GB2312"/>
                <w:color w:val="000000"/>
                <w:kern w:val="0"/>
                <w:sz w:val="24"/>
                <w:szCs w:val="24"/>
                <w:lang w:val="en-US" w:eastAsia="zh-CN"/>
              </w:rPr>
              <w:t>、参与权、监督权和决策权</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cs="仿宋_GB2312"/>
                <w:color w:val="000000"/>
                <w:kern w:val="0"/>
                <w:sz w:val="24"/>
                <w:szCs w:val="24"/>
                <w:lang w:val="en-US" w:eastAsia="zh-CN"/>
              </w:rPr>
              <w:t>实现业主利益最大化。比如，任城区环北附院小区结合改造引入“信托制”物业管理模式，设立全体业主共有的银行账户，存入业主缴纳的物业费、停车费等小区公共收益，设置物业取款和业主查询“双密码”，每位业主可随时查阅所有物业服务财务收支情况，有效提高了业主对物业公司的信任度，物业费收缴率由改造前的45%提高到现在的98%，形成了“矛盾零上报、收支透明化、议事民主化”的良好格局。</w:t>
            </w:r>
            <w:r>
              <w:rPr>
                <w:rFonts w:hint="eastAsia" w:ascii="仿宋_GB2312" w:hAnsi="仿宋_GB2312" w:eastAsia="仿宋_GB2312" w:cs="仿宋_GB2312"/>
                <w:color w:val="000000"/>
                <w:kern w:val="0"/>
                <w:sz w:val="24"/>
                <w:szCs w:val="24"/>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320" w:lineRule="exact"/>
              <w:ind w:firstLine="601"/>
              <w:textAlignment w:val="auto"/>
              <w:outlineLvl w:val="9"/>
              <w:rPr>
                <w:rFonts w:hint="eastAsia"/>
              </w:rPr>
            </w:pPr>
            <w:r>
              <w:rPr>
                <w:rFonts w:hint="eastAsia" w:ascii="仿宋_GB2312" w:hAnsi="仿宋_GB2312" w:cs="仿宋_GB2312"/>
                <w:i w:val="0"/>
                <w:caps w:val="0"/>
                <w:color w:val="000000"/>
                <w:spacing w:val="0"/>
                <w:kern w:val="0"/>
                <w:sz w:val="24"/>
                <w:szCs w:val="24"/>
                <w:lang w:val="en-US" w:eastAsia="zh-CN" w:bidi="ar"/>
              </w:rPr>
              <w:t>3</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i w:val="0"/>
                <w:caps w:val="0"/>
                <w:color w:val="000000"/>
                <w:spacing w:val="0"/>
                <w:kern w:val="0"/>
                <w:sz w:val="24"/>
                <w:szCs w:val="24"/>
                <w:lang w:val="en-US" w:eastAsia="zh-CN" w:bidi="ar"/>
              </w:rPr>
              <w:t>江西省赣州市章贡区</w:t>
            </w:r>
            <w:r>
              <w:rPr>
                <w:rFonts w:hint="eastAsia" w:ascii="仿宋_GB2312" w:hAnsi="仿宋_GB2312" w:cs="仿宋_GB2312"/>
                <w:i w:val="0"/>
                <w:caps w:val="0"/>
                <w:color w:val="000000"/>
                <w:spacing w:val="0"/>
                <w:kern w:val="0"/>
                <w:sz w:val="24"/>
                <w:szCs w:val="24"/>
                <w:lang w:val="en-US" w:eastAsia="zh-CN" w:bidi="ar"/>
              </w:rPr>
              <w:t>对</w:t>
            </w:r>
            <w:r>
              <w:rPr>
                <w:rFonts w:hint="eastAsia" w:ascii="仿宋_GB2312" w:hAnsi="仿宋_GB2312" w:eastAsia="仿宋_GB2312" w:cs="仿宋_GB2312"/>
                <w:i w:val="0"/>
                <w:caps w:val="0"/>
                <w:color w:val="000000"/>
                <w:spacing w:val="0"/>
                <w:kern w:val="0"/>
                <w:sz w:val="24"/>
                <w:szCs w:val="24"/>
                <w:lang w:val="en-US" w:eastAsia="zh-CN" w:bidi="ar"/>
              </w:rPr>
              <w:t>引入市场化物业服务企业</w:t>
            </w:r>
            <w:r>
              <w:rPr>
                <w:rFonts w:hint="eastAsia" w:ascii="仿宋_GB2312" w:hAnsi="仿宋_GB2312" w:cs="仿宋_GB2312"/>
                <w:i w:val="0"/>
                <w:caps w:val="0"/>
                <w:color w:val="000000"/>
                <w:spacing w:val="0"/>
                <w:kern w:val="0"/>
                <w:sz w:val="24"/>
                <w:szCs w:val="24"/>
                <w:lang w:val="en-US" w:eastAsia="zh-CN" w:bidi="ar"/>
              </w:rPr>
              <w:t>难的</w:t>
            </w:r>
            <w:r>
              <w:rPr>
                <w:rFonts w:hint="eastAsia" w:ascii="仿宋_GB2312" w:hAnsi="仿宋_GB2312" w:eastAsia="仿宋_GB2312" w:cs="仿宋_GB2312"/>
                <w:i w:val="0"/>
                <w:caps w:val="0"/>
                <w:color w:val="000000"/>
                <w:spacing w:val="0"/>
                <w:kern w:val="0"/>
                <w:sz w:val="24"/>
                <w:szCs w:val="24"/>
                <w:lang w:val="en-US" w:eastAsia="zh-CN" w:bidi="ar"/>
              </w:rPr>
              <w:t>老旧小区</w:t>
            </w:r>
            <w:r>
              <w:rPr>
                <w:rFonts w:hint="eastAsia" w:ascii="仿宋_GB2312" w:hAnsi="仿宋_GB2312" w:cs="仿宋_GB2312"/>
                <w:i w:val="0"/>
                <w:caps w:val="0"/>
                <w:color w:val="000000"/>
                <w:spacing w:val="0"/>
                <w:kern w:val="0"/>
                <w:sz w:val="24"/>
                <w:szCs w:val="24"/>
                <w:lang w:val="en-US" w:eastAsia="zh-CN" w:bidi="ar"/>
              </w:rPr>
              <w:t>提供</w:t>
            </w:r>
            <w:r>
              <w:rPr>
                <w:rFonts w:hint="eastAsia" w:ascii="仿宋_GB2312" w:hAnsi="仿宋_GB2312" w:eastAsia="仿宋_GB2312" w:cs="仿宋_GB2312"/>
                <w:i w:val="0"/>
                <w:caps w:val="0"/>
                <w:color w:val="000000"/>
                <w:spacing w:val="0"/>
                <w:kern w:val="0"/>
                <w:sz w:val="24"/>
                <w:szCs w:val="24"/>
                <w:lang w:val="en-US" w:eastAsia="zh-CN" w:bidi="ar"/>
              </w:rPr>
              <w:t>补位</w:t>
            </w:r>
            <w:r>
              <w:rPr>
                <w:rFonts w:hint="eastAsia" w:ascii="仿宋_GB2312" w:hAnsi="仿宋_GB2312" w:cs="仿宋_GB2312"/>
                <w:i w:val="0"/>
                <w:caps w:val="0"/>
                <w:color w:val="000000"/>
                <w:spacing w:val="0"/>
                <w:kern w:val="0"/>
                <w:sz w:val="24"/>
                <w:szCs w:val="24"/>
                <w:lang w:val="en-US" w:eastAsia="zh-CN" w:bidi="ar"/>
              </w:rPr>
              <w:t>服务。</w:t>
            </w:r>
            <w:r>
              <w:rPr>
                <w:rFonts w:hint="eastAsia" w:ascii="仿宋_GB2312" w:hAnsi="仿宋_GB2312" w:eastAsia="仿宋_GB2312" w:cs="仿宋_GB2312"/>
                <w:i w:val="0"/>
                <w:caps w:val="0"/>
                <w:color w:val="000000"/>
                <w:spacing w:val="0"/>
                <w:kern w:val="0"/>
                <w:sz w:val="24"/>
                <w:szCs w:val="24"/>
                <w:lang w:val="en-US" w:eastAsia="zh-CN" w:bidi="ar"/>
              </w:rPr>
              <w:t>根据小区规模、社区网格设置、共用设施分布、道路围合等实际情况，将无物业小区划片整合为新的物业服务区域，由区属平台公司作为区级国有物业服务企业，与各镇(街道)共同出资分别成立控股子公司，在子公司下设社区物业服务点，</w:t>
            </w:r>
            <w:r>
              <w:rPr>
                <w:rFonts w:hint="eastAsia" w:ascii="仿宋_GB2312" w:hAnsi="仿宋_GB2312" w:cs="仿宋_GB2312"/>
                <w:i w:val="0"/>
                <w:caps w:val="0"/>
                <w:color w:val="000000"/>
                <w:spacing w:val="0"/>
                <w:kern w:val="0"/>
                <w:sz w:val="24"/>
                <w:szCs w:val="24"/>
                <w:lang w:val="en-US" w:eastAsia="zh-CN" w:bidi="ar"/>
              </w:rPr>
              <w:t>经业主表决同意，</w:t>
            </w:r>
            <w:r>
              <w:rPr>
                <w:rFonts w:hint="eastAsia" w:ascii="仿宋_GB2312" w:hAnsi="仿宋_GB2312" w:eastAsia="仿宋_GB2312" w:cs="仿宋_GB2312"/>
                <w:i w:val="0"/>
                <w:caps w:val="0"/>
                <w:color w:val="000000"/>
                <w:spacing w:val="0"/>
                <w:kern w:val="0"/>
                <w:sz w:val="24"/>
                <w:szCs w:val="24"/>
                <w:lang w:val="en-US" w:eastAsia="zh-CN" w:bidi="ar"/>
              </w:rPr>
              <w:t>为无市场化物业服务小区提供基础物业服务。通过实施规模化管理，整合挖掘小区公共区域经营性广告位、停车道闸、充电桩等资源运营收益，实现微利可持续运作。</w:t>
            </w:r>
            <w:r>
              <w:rPr>
                <w:rFonts w:hint="eastAsia" w:ascii="仿宋_GB2312" w:hAnsi="仿宋_GB2312" w:eastAsia="仿宋_GB2312" w:cs="仿宋_GB2312"/>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jc w:val="center"/>
        </w:trPr>
        <w:tc>
          <w:tcPr>
            <w:tcW w:w="455" w:type="dxa"/>
            <w:vMerge w:val="continue"/>
            <w:vAlign w:val="top"/>
          </w:tcPr>
          <w:p>
            <w:pPr>
              <w:spacing w:line="320" w:lineRule="exact"/>
              <w:jc w:val="left"/>
              <w:rPr>
                <w:rFonts w:hint="eastAsia" w:ascii="黑体" w:hAnsi="黑体" w:eastAsia="黑体" w:cs="黑体"/>
                <w:sz w:val="24"/>
                <w:szCs w:val="24"/>
              </w:rPr>
            </w:pPr>
          </w:p>
        </w:tc>
        <w:tc>
          <w:tcPr>
            <w:tcW w:w="964" w:type="dxa"/>
            <w:vMerge w:val="continue"/>
            <w:vAlign w:val="center"/>
          </w:tcPr>
          <w:p>
            <w:pPr>
              <w:spacing w:line="320" w:lineRule="exact"/>
              <w:jc w:val="center"/>
              <w:rPr>
                <w:rFonts w:hint="eastAsia" w:ascii="黑体" w:hAnsi="黑体" w:eastAsia="黑体" w:cs="黑体"/>
                <w:sz w:val="24"/>
                <w:szCs w:val="24"/>
              </w:rPr>
            </w:pPr>
          </w:p>
        </w:tc>
        <w:tc>
          <w:tcPr>
            <w:tcW w:w="1366" w:type="dxa"/>
            <w:vAlign w:val="center"/>
          </w:tcPr>
          <w:p>
            <w:pPr>
              <w:pStyle w:val="11"/>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楷体_GB2312" w:hAnsi="楷体_GB2312" w:eastAsia="楷体_GB2312" w:cs="楷体_GB2312"/>
                <w:b/>
                <w:bCs/>
                <w:color w:val="auto"/>
                <w:sz w:val="24"/>
                <w:szCs w:val="24"/>
                <w:lang w:bidi="zh-CN"/>
              </w:rPr>
            </w:pPr>
            <w:r>
              <w:rPr>
                <w:rFonts w:hint="eastAsia" w:ascii="楷体_GB2312" w:hAnsi="楷体_GB2312" w:eastAsia="楷体_GB2312" w:cs="楷体_GB2312"/>
                <w:b/>
                <w:bCs/>
                <w:color w:val="auto"/>
                <w:sz w:val="24"/>
                <w:szCs w:val="24"/>
                <w:lang w:bidi="zh-CN"/>
              </w:rPr>
              <w:t>（三）拓展小区</w:t>
            </w:r>
            <w:r>
              <w:rPr>
                <w:rFonts w:hint="eastAsia" w:ascii="楷体_GB2312" w:hAnsi="楷体_GB2312" w:eastAsia="楷体_GB2312" w:cs="楷体_GB2312"/>
                <w:b/>
                <w:bCs/>
                <w:color w:val="000000"/>
                <w:kern w:val="2"/>
                <w:sz w:val="24"/>
                <w:szCs w:val="24"/>
                <w:lang w:val="en-US" w:eastAsia="zh-CN" w:bidi="zh-CN"/>
              </w:rPr>
              <w:t>维护管理</w:t>
            </w:r>
            <w:r>
              <w:rPr>
                <w:rFonts w:hint="eastAsia" w:ascii="楷体_GB2312" w:hAnsi="楷体_GB2312" w:eastAsia="楷体_GB2312" w:cs="楷体_GB2312"/>
                <w:b/>
                <w:bCs/>
                <w:color w:val="auto"/>
                <w:sz w:val="24"/>
                <w:szCs w:val="24"/>
                <w:lang w:bidi="zh-CN"/>
              </w:rPr>
              <w:t>资金渠道</w:t>
            </w:r>
          </w:p>
        </w:tc>
        <w:tc>
          <w:tcPr>
            <w:tcW w:w="1075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广东省珠海市香洲区青竹花园小区改造后，将物业费在原收费标准上每平方米每月增加0.15元，由物业服务企业代收划转至小区业委会公共资金账户，作为公共维修资金，用于小区公共设施、园林绿化等的维修养护。成立业委会监督委员会和小区议事机制，依托《业主自治章程》《小区议事规则》，实时监督业委会正确履职，督促业委会每季度公示小区公共维修资金使用情况。</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广东省广州市越秀区三眼井社区改造项目引导企业出资300万元，利用社区闲置空地、房屋引入各类设施，包括加装智慧奶站、自助饮水机和24小时自助打印机等，增设移动充电桩17个、打造长者饭堂，将设施运营收入与居民分成，用于补充小区维护管理资金。</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_GB2312" w:hAnsi="仿宋_GB2312" w:cs="仿宋_GB2312"/>
                <w:i w:val="0"/>
                <w:caps w:val="0"/>
                <w:color w:val="000000"/>
                <w:spacing w:val="0"/>
                <w:kern w:val="0"/>
                <w:sz w:val="24"/>
                <w:szCs w:val="24"/>
                <w:lang w:val="en-US" w:eastAsia="zh-CN" w:bidi="ar"/>
              </w:rPr>
            </w:pPr>
            <w:r>
              <w:rPr>
                <w:rFonts w:hint="eastAsia" w:ascii="仿宋_GB2312" w:hAnsi="仿宋_GB2312" w:eastAsia="仿宋_GB2312" w:cs="仿宋_GB2312"/>
                <w:color w:val="000000"/>
                <w:kern w:val="0"/>
                <w:sz w:val="24"/>
                <w:szCs w:val="24"/>
                <w:lang w:val="en-US" w:eastAsia="zh-CN"/>
              </w:rPr>
              <w:t>3．湖南省会同县动员居民以每户300元标准出资，推动改造后老旧小区通过出租广告牌、对外开放小区停车位等方式，增加小区公共收益，统筹居民出资及公共收益用于补充小区物业管理资金约1600万元。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455" w:type="dxa"/>
            <w:vMerge w:val="continue"/>
            <w:vAlign w:val="top"/>
          </w:tcPr>
          <w:p>
            <w:pPr>
              <w:spacing w:line="320" w:lineRule="exact"/>
              <w:jc w:val="left"/>
              <w:rPr>
                <w:rFonts w:hint="eastAsia" w:ascii="黑体" w:hAnsi="黑体" w:eastAsia="黑体" w:cs="黑体"/>
                <w:sz w:val="24"/>
                <w:szCs w:val="24"/>
              </w:rPr>
            </w:pPr>
          </w:p>
        </w:tc>
        <w:tc>
          <w:tcPr>
            <w:tcW w:w="964" w:type="dxa"/>
            <w:vMerge w:val="continue"/>
            <w:vAlign w:val="center"/>
          </w:tcPr>
          <w:p>
            <w:pPr>
              <w:spacing w:line="320" w:lineRule="exact"/>
              <w:jc w:val="center"/>
              <w:rPr>
                <w:rFonts w:hint="eastAsia" w:ascii="黑体" w:hAnsi="黑体" w:eastAsia="黑体" w:cs="黑体"/>
                <w:sz w:val="24"/>
                <w:szCs w:val="24"/>
              </w:rPr>
            </w:pPr>
          </w:p>
        </w:tc>
        <w:tc>
          <w:tcPr>
            <w:tcW w:w="1366" w:type="dxa"/>
            <w:vAlign w:val="center"/>
          </w:tcPr>
          <w:p>
            <w:pPr>
              <w:pStyle w:val="11"/>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楷体_GB2312" w:hAnsi="楷体_GB2312" w:eastAsia="楷体_GB2312" w:cs="楷体_GB2312"/>
                <w:b/>
                <w:bCs/>
                <w:color w:val="auto"/>
                <w:sz w:val="24"/>
                <w:szCs w:val="24"/>
                <w:lang w:bidi="zh-CN"/>
              </w:rPr>
            </w:pPr>
            <w:r>
              <w:rPr>
                <w:rFonts w:hint="eastAsia" w:ascii="楷体_GB2312" w:hAnsi="楷体_GB2312" w:eastAsia="楷体_GB2312" w:cs="楷体_GB2312"/>
                <w:b/>
                <w:bCs/>
                <w:color w:val="auto"/>
                <w:sz w:val="24"/>
                <w:szCs w:val="24"/>
                <w:lang w:bidi="zh-CN"/>
              </w:rPr>
              <w:t>（三）拓展小区</w:t>
            </w:r>
            <w:r>
              <w:rPr>
                <w:rFonts w:hint="eastAsia" w:ascii="楷体_GB2312" w:hAnsi="楷体_GB2312" w:eastAsia="楷体_GB2312" w:cs="楷体_GB2312"/>
                <w:b/>
                <w:bCs/>
                <w:color w:val="000000"/>
                <w:kern w:val="2"/>
                <w:sz w:val="24"/>
                <w:szCs w:val="24"/>
                <w:lang w:val="en-US" w:eastAsia="zh-CN" w:bidi="zh-CN"/>
              </w:rPr>
              <w:t>维护管理</w:t>
            </w:r>
            <w:r>
              <w:rPr>
                <w:rFonts w:hint="eastAsia" w:ascii="楷体_GB2312" w:hAnsi="楷体_GB2312" w:eastAsia="楷体_GB2312" w:cs="楷体_GB2312"/>
                <w:b/>
                <w:bCs/>
                <w:color w:val="auto"/>
                <w:sz w:val="24"/>
                <w:szCs w:val="24"/>
                <w:lang w:bidi="zh-CN"/>
              </w:rPr>
              <w:t>资金渠道</w:t>
            </w:r>
          </w:p>
        </w:tc>
        <w:tc>
          <w:tcPr>
            <w:tcW w:w="1075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outlineLvl w:val="9"/>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 xml:space="preserve">4．江苏省靖江市组织社区干部和志愿者通过入户讲解政策、召开板凳会议、发放老旧小区改造“六问六答”宣传手册等多种方式，动员居民以每户1000元的标准出资，用于改造后小区的公共维护费用，目前已累计筹集资金470余万元，出资户占比达90%以上。   </w:t>
            </w:r>
          </w:p>
          <w:p>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textAlignment w:val="auto"/>
              <w:outlineLvl w:val="9"/>
              <w:rPr>
                <w:rFonts w:hint="eastAsia" w:ascii="仿宋_GB2312" w:hAnsi="仿宋_GB2312" w:cs="仿宋_GB2312"/>
                <w:i w:val="0"/>
                <w:caps w:val="0"/>
                <w:color w:val="000000"/>
                <w:spacing w:val="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SA"/>
              </w:rPr>
              <w:t>5</w:t>
            </w:r>
            <w:r>
              <w:rPr>
                <w:rFonts w:hint="eastAsia" w:ascii="仿宋_GB2312" w:hAnsi="仿宋_GB2312" w:eastAsia="仿宋_GB2312" w:cs="仿宋_GB2312"/>
                <w:color w:val="000000"/>
                <w:kern w:val="0"/>
                <w:sz w:val="24"/>
                <w:szCs w:val="24"/>
                <w:lang w:val="en-US" w:eastAsia="zh-CN"/>
              </w:rPr>
              <w:t>．</w:t>
            </w:r>
            <w:r>
              <w:rPr>
                <w:rFonts w:hint="eastAsia" w:ascii="仿宋_GB2312" w:hAnsi="仿宋_GB2312" w:eastAsia="仿宋_GB2312" w:cs="仿宋_GB2312"/>
                <w:color w:val="000000"/>
                <w:kern w:val="0"/>
                <w:sz w:val="24"/>
                <w:szCs w:val="24"/>
                <w:lang w:val="en-US" w:eastAsia="zh-CN" w:bidi="ar-SA"/>
              </w:rPr>
              <w:t xml:space="preserve">云南省玉溪市江川区文祥片区通过拆除围墙、违法建设，整合利用闲置土地等方式，在腾挪出的土地上新增停车位538个，加上原有车位共计1160个，通过短租、长租、临停收费的方式运营，收益补充小区维护管理资金。 </w:t>
            </w:r>
            <w:r>
              <w:rPr>
                <w:rFonts w:hint="eastAsia" w:ascii="仿宋_GB2312" w:hAnsi="仿宋_GB2312" w:eastAsia="仿宋_GB2312" w:cs="仿宋_GB2312"/>
                <w:color w:val="000000"/>
                <w:kern w:val="0"/>
                <w:sz w:val="24"/>
                <w:szCs w:val="24"/>
                <w:lang w:val="en-US" w:eastAsia="zh-CN"/>
              </w:rPr>
              <w:t xml:space="preserve">      </w:t>
            </w:r>
          </w:p>
        </w:tc>
      </w:tr>
    </w:tbl>
    <w:p/>
    <w:sectPr>
      <w:footerReference r:id="rId3" w:type="default"/>
      <w:pgSz w:w="16838" w:h="11906" w:orient="landscape"/>
      <w:pgMar w:top="1587" w:right="1440" w:bottom="1474"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AA90FF-AED2-4114-90FE-1190298423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0BEFF92C-2322-45BD-BD43-F536FA02266B}"/>
  </w:font>
  <w:font w:name="DejaVu Sans">
    <w:altName w:val="Segoe Print"/>
    <w:panose1 w:val="020B0603030804020204"/>
    <w:charset w:val="00"/>
    <w:family w:val="roman"/>
    <w:pitch w:val="default"/>
    <w:sig w:usb0="00000000" w:usb1="00000000" w:usb2="0A246029" w:usb3="0400200C" w:csb0="600001FF" w:csb1="DFFF0000"/>
  </w:font>
  <w:font w:name="方正小标宋简体">
    <w:panose1 w:val="03000509000000000000"/>
    <w:charset w:val="86"/>
    <w:family w:val="auto"/>
    <w:pitch w:val="default"/>
    <w:sig w:usb0="00000001" w:usb1="080E0000" w:usb2="00000000" w:usb3="00000000" w:csb0="00040000" w:csb1="00000000"/>
    <w:embedRegular r:id="rId3" w:fontKey="{4515382C-AFF8-4B50-A9E9-4BEA8F4A1DB5}"/>
  </w:font>
  <w:font w:name="LinTimes">
    <w:altName w:val="Traditional Arabic"/>
    <w:panose1 w:val="02020603050405020304"/>
    <w:charset w:val="00"/>
    <w:family w:val="auto"/>
    <w:pitch w:val="default"/>
    <w:sig w:usb0="00000000" w:usb1="00000000" w:usb2="00000008" w:usb3="00000000" w:csb0="400001FF" w:csb1="FFFF0000"/>
  </w:font>
  <w:font w:name="Nuosu SIL">
    <w:altName w:val="MS UI Gothic"/>
    <w:panose1 w:val="02000000000000000000"/>
    <w:charset w:val="80"/>
    <w:family w:val="auto"/>
    <w:pitch w:val="default"/>
    <w:sig w:usb0="00000000" w:usb1="00000000" w:usb2="00080010" w:usb3="00000000" w:csb0="00020003" w:csb1="00000000"/>
  </w:font>
  <w:font w:name="楷体_GB2312">
    <w:altName w:val="楷体"/>
    <w:panose1 w:val="02010609030101010101"/>
    <w:charset w:val="86"/>
    <w:family w:val="modern"/>
    <w:pitch w:val="default"/>
    <w:sig w:usb0="00000000" w:usb1="00000000" w:usb2="00000000" w:usb3="00000000" w:csb0="00040000" w:csb1="00000000"/>
    <w:embedRegular r:id="rId4" w:fontKey="{94091958-2C77-4F97-9745-7E60A8D19425}"/>
  </w:font>
  <w:font w:name="仿宋">
    <w:panose1 w:val="02010609060101010101"/>
    <w:charset w:val="86"/>
    <w:family w:val="auto"/>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WE5ZmMyYzI1Mzg2NjU5MzgwMjM3NWFkODMwMTIifQ=="/>
  </w:docVars>
  <w:rsids>
    <w:rsidRoot w:val="00000000"/>
    <w:rsid w:val="035E575D"/>
    <w:rsid w:val="06624721"/>
    <w:rsid w:val="09545682"/>
    <w:rsid w:val="0F79B817"/>
    <w:rsid w:val="0FBFD993"/>
    <w:rsid w:val="11F54B28"/>
    <w:rsid w:val="15E056F0"/>
    <w:rsid w:val="18502F73"/>
    <w:rsid w:val="18C96C96"/>
    <w:rsid w:val="1B1FA311"/>
    <w:rsid w:val="1B7F11F3"/>
    <w:rsid w:val="1DE6BBA3"/>
    <w:rsid w:val="1E4DD69D"/>
    <w:rsid w:val="1E931F07"/>
    <w:rsid w:val="1FC50788"/>
    <w:rsid w:val="1FDB8EE3"/>
    <w:rsid w:val="1FF892F7"/>
    <w:rsid w:val="20205A5C"/>
    <w:rsid w:val="221C2118"/>
    <w:rsid w:val="254B6F9C"/>
    <w:rsid w:val="2DF0E2A6"/>
    <w:rsid w:val="2EFB96E4"/>
    <w:rsid w:val="30DFC83B"/>
    <w:rsid w:val="315471D8"/>
    <w:rsid w:val="31BD9ECC"/>
    <w:rsid w:val="32796D8D"/>
    <w:rsid w:val="33B45D0C"/>
    <w:rsid w:val="35B93AAE"/>
    <w:rsid w:val="35E94529"/>
    <w:rsid w:val="35FF348B"/>
    <w:rsid w:val="3608233F"/>
    <w:rsid w:val="37AF3BF2"/>
    <w:rsid w:val="37AFC422"/>
    <w:rsid w:val="39C74819"/>
    <w:rsid w:val="39F7736B"/>
    <w:rsid w:val="3AFE5275"/>
    <w:rsid w:val="3DE38F6B"/>
    <w:rsid w:val="3E3B1C55"/>
    <w:rsid w:val="3E973BB6"/>
    <w:rsid w:val="3F9D411A"/>
    <w:rsid w:val="3FF740AA"/>
    <w:rsid w:val="3FF761E3"/>
    <w:rsid w:val="4171423F"/>
    <w:rsid w:val="44446C38"/>
    <w:rsid w:val="45AD6A5F"/>
    <w:rsid w:val="477904BD"/>
    <w:rsid w:val="47EA7AF7"/>
    <w:rsid w:val="49D54093"/>
    <w:rsid w:val="4B9E99B0"/>
    <w:rsid w:val="4BFE11E9"/>
    <w:rsid w:val="4C15309D"/>
    <w:rsid w:val="4EB985D5"/>
    <w:rsid w:val="4FEA162B"/>
    <w:rsid w:val="4FEF8082"/>
    <w:rsid w:val="4FF4A9F1"/>
    <w:rsid w:val="515830AE"/>
    <w:rsid w:val="54AD4386"/>
    <w:rsid w:val="56210BB0"/>
    <w:rsid w:val="57BB3528"/>
    <w:rsid w:val="57BEA769"/>
    <w:rsid w:val="5AF9EBB7"/>
    <w:rsid w:val="5B7B18FE"/>
    <w:rsid w:val="5B985C59"/>
    <w:rsid w:val="5BFCBA72"/>
    <w:rsid w:val="5CABC722"/>
    <w:rsid w:val="5DA7D4DF"/>
    <w:rsid w:val="5DDF4E1C"/>
    <w:rsid w:val="5E940365"/>
    <w:rsid w:val="5EFF25C5"/>
    <w:rsid w:val="5F5F8915"/>
    <w:rsid w:val="5FABF4A8"/>
    <w:rsid w:val="5FBFCD38"/>
    <w:rsid w:val="5FDC5150"/>
    <w:rsid w:val="5FFBDC5D"/>
    <w:rsid w:val="5FFF9EAF"/>
    <w:rsid w:val="64CC2606"/>
    <w:rsid w:val="66C20165"/>
    <w:rsid w:val="66F2835A"/>
    <w:rsid w:val="676FDEFE"/>
    <w:rsid w:val="67DFD345"/>
    <w:rsid w:val="690A7BA1"/>
    <w:rsid w:val="6A3C1716"/>
    <w:rsid w:val="6A5512F0"/>
    <w:rsid w:val="6AFDC8D8"/>
    <w:rsid w:val="6AFFD54A"/>
    <w:rsid w:val="6CAFC20C"/>
    <w:rsid w:val="6EFBCD9C"/>
    <w:rsid w:val="6F9BB753"/>
    <w:rsid w:val="6FA32219"/>
    <w:rsid w:val="6FA73F57"/>
    <w:rsid w:val="6FEA4D4A"/>
    <w:rsid w:val="6FEEA489"/>
    <w:rsid w:val="6FF6658E"/>
    <w:rsid w:val="6FFD4EEB"/>
    <w:rsid w:val="6FFD7167"/>
    <w:rsid w:val="6FFF88B5"/>
    <w:rsid w:val="6FFFC612"/>
    <w:rsid w:val="70BE38F2"/>
    <w:rsid w:val="70D80585"/>
    <w:rsid w:val="7379C79D"/>
    <w:rsid w:val="73EAEDFE"/>
    <w:rsid w:val="73F55135"/>
    <w:rsid w:val="75486EDC"/>
    <w:rsid w:val="75FB0959"/>
    <w:rsid w:val="75FE7C20"/>
    <w:rsid w:val="76DFCBE8"/>
    <w:rsid w:val="773FD060"/>
    <w:rsid w:val="77EF4593"/>
    <w:rsid w:val="78FF9264"/>
    <w:rsid w:val="79ADD68D"/>
    <w:rsid w:val="79FB5E52"/>
    <w:rsid w:val="7A3DB54F"/>
    <w:rsid w:val="7AFC7C88"/>
    <w:rsid w:val="7B1924DA"/>
    <w:rsid w:val="7B362A78"/>
    <w:rsid w:val="7B4F15B7"/>
    <w:rsid w:val="7B6948F4"/>
    <w:rsid w:val="7B7F78B4"/>
    <w:rsid w:val="7BBA6052"/>
    <w:rsid w:val="7BBEAD36"/>
    <w:rsid w:val="7BF784CD"/>
    <w:rsid w:val="7BFF517B"/>
    <w:rsid w:val="7BFFF5B3"/>
    <w:rsid w:val="7BFFFC01"/>
    <w:rsid w:val="7C9520CB"/>
    <w:rsid w:val="7D4F60C6"/>
    <w:rsid w:val="7D580477"/>
    <w:rsid w:val="7DD9B2D6"/>
    <w:rsid w:val="7DF35183"/>
    <w:rsid w:val="7DFE1865"/>
    <w:rsid w:val="7DFF5608"/>
    <w:rsid w:val="7E752B56"/>
    <w:rsid w:val="7EAB3391"/>
    <w:rsid w:val="7EF4DD2F"/>
    <w:rsid w:val="7EFBD8D6"/>
    <w:rsid w:val="7EFC030E"/>
    <w:rsid w:val="7EFEDE11"/>
    <w:rsid w:val="7F1C2E8B"/>
    <w:rsid w:val="7F578E02"/>
    <w:rsid w:val="7F677CF6"/>
    <w:rsid w:val="7F719B6C"/>
    <w:rsid w:val="7F7FEB2C"/>
    <w:rsid w:val="7F87680B"/>
    <w:rsid w:val="7F974397"/>
    <w:rsid w:val="7F9A443A"/>
    <w:rsid w:val="7F9E3553"/>
    <w:rsid w:val="7FB6FF88"/>
    <w:rsid w:val="7FC7191E"/>
    <w:rsid w:val="7FCE4574"/>
    <w:rsid w:val="7FD56950"/>
    <w:rsid w:val="7FDB8209"/>
    <w:rsid w:val="7FDF045A"/>
    <w:rsid w:val="7FEB4CFF"/>
    <w:rsid w:val="7FF1B822"/>
    <w:rsid w:val="7FFB4611"/>
    <w:rsid w:val="7FFF15E9"/>
    <w:rsid w:val="96DD44CD"/>
    <w:rsid w:val="9752C5F2"/>
    <w:rsid w:val="9B5F33AB"/>
    <w:rsid w:val="9BF1B6E7"/>
    <w:rsid w:val="9F76299C"/>
    <w:rsid w:val="9F7B0283"/>
    <w:rsid w:val="9F7F9BC4"/>
    <w:rsid w:val="A77FD39E"/>
    <w:rsid w:val="A798B69E"/>
    <w:rsid w:val="A986F289"/>
    <w:rsid w:val="AF1D67BE"/>
    <w:rsid w:val="AF7FEC43"/>
    <w:rsid w:val="AFED08A4"/>
    <w:rsid w:val="AFFB6A61"/>
    <w:rsid w:val="B55FF42D"/>
    <w:rsid w:val="B6F6B26C"/>
    <w:rsid w:val="B7DB6A7E"/>
    <w:rsid w:val="B931BDC4"/>
    <w:rsid w:val="B9FE4BA2"/>
    <w:rsid w:val="BDBA1D7B"/>
    <w:rsid w:val="BDBFF700"/>
    <w:rsid w:val="BDEBF2D3"/>
    <w:rsid w:val="BE6EC44E"/>
    <w:rsid w:val="BEDD99FB"/>
    <w:rsid w:val="BF2925E6"/>
    <w:rsid w:val="BF6A7F83"/>
    <w:rsid w:val="BFDF5324"/>
    <w:rsid w:val="BFF5D734"/>
    <w:rsid w:val="BFFFCCC1"/>
    <w:rsid w:val="C3DF2583"/>
    <w:rsid w:val="CF79604B"/>
    <w:rsid w:val="CFB5C33D"/>
    <w:rsid w:val="CFFF10F8"/>
    <w:rsid w:val="D3D73205"/>
    <w:rsid w:val="D75F6262"/>
    <w:rsid w:val="D778675B"/>
    <w:rsid w:val="D7BB95EC"/>
    <w:rsid w:val="D8FF4A9A"/>
    <w:rsid w:val="DAF6D46C"/>
    <w:rsid w:val="DAF75EB5"/>
    <w:rsid w:val="DDFF71C4"/>
    <w:rsid w:val="DE77869B"/>
    <w:rsid w:val="DE7FE0D5"/>
    <w:rsid w:val="DFBCB1CC"/>
    <w:rsid w:val="DFBF80C0"/>
    <w:rsid w:val="DFD7B6AC"/>
    <w:rsid w:val="DFFFF63B"/>
    <w:rsid w:val="E2579714"/>
    <w:rsid w:val="E3DE8279"/>
    <w:rsid w:val="E4BFBE65"/>
    <w:rsid w:val="E4FF5E02"/>
    <w:rsid w:val="E75FA437"/>
    <w:rsid w:val="E77E1793"/>
    <w:rsid w:val="E7DFAFFE"/>
    <w:rsid w:val="E7FF3799"/>
    <w:rsid w:val="E9969902"/>
    <w:rsid w:val="EBEF91FA"/>
    <w:rsid w:val="EDAF001A"/>
    <w:rsid w:val="EDBAF9C8"/>
    <w:rsid w:val="EDE793DD"/>
    <w:rsid w:val="EDEBDCF3"/>
    <w:rsid w:val="EF6C4B84"/>
    <w:rsid w:val="EFBB2773"/>
    <w:rsid w:val="EFEF2D83"/>
    <w:rsid w:val="EFF750D0"/>
    <w:rsid w:val="EFFDC803"/>
    <w:rsid w:val="EFFE0679"/>
    <w:rsid w:val="F1FB1755"/>
    <w:rsid w:val="F31FEB35"/>
    <w:rsid w:val="F3DF52B4"/>
    <w:rsid w:val="F3EFD17A"/>
    <w:rsid w:val="F5FFB2B7"/>
    <w:rsid w:val="F5FFF9A5"/>
    <w:rsid w:val="F6BD4131"/>
    <w:rsid w:val="F75FC785"/>
    <w:rsid w:val="F77F14EB"/>
    <w:rsid w:val="F7AFAAE8"/>
    <w:rsid w:val="F7F20E7E"/>
    <w:rsid w:val="F7FD85A8"/>
    <w:rsid w:val="FAA5D7AE"/>
    <w:rsid w:val="FAFD9D8A"/>
    <w:rsid w:val="FB1F0117"/>
    <w:rsid w:val="FBBF4658"/>
    <w:rsid w:val="FBEC4E3A"/>
    <w:rsid w:val="FCF939E0"/>
    <w:rsid w:val="FCFD0BF8"/>
    <w:rsid w:val="FCFFE7A7"/>
    <w:rsid w:val="FD9F0D1A"/>
    <w:rsid w:val="FDB73FCC"/>
    <w:rsid w:val="FDE1E648"/>
    <w:rsid w:val="FDEB8BF8"/>
    <w:rsid w:val="FDFFF651"/>
    <w:rsid w:val="FEBFFA6D"/>
    <w:rsid w:val="FEF4FD77"/>
    <w:rsid w:val="FF1B46D3"/>
    <w:rsid w:val="FF23AF30"/>
    <w:rsid w:val="FF372607"/>
    <w:rsid w:val="FFAF4B1F"/>
    <w:rsid w:val="FFAFBF35"/>
    <w:rsid w:val="FFBE90F1"/>
    <w:rsid w:val="FFBF1709"/>
    <w:rsid w:val="FFBFA990"/>
    <w:rsid w:val="FFBFE848"/>
    <w:rsid w:val="FFD5BFB3"/>
    <w:rsid w:val="FFDDF808"/>
    <w:rsid w:val="FFDE8BEF"/>
    <w:rsid w:val="FFDEE0F6"/>
    <w:rsid w:val="FFE7469D"/>
    <w:rsid w:val="FFED87B4"/>
    <w:rsid w:val="FFEF1DD3"/>
    <w:rsid w:val="FFF22CBB"/>
    <w:rsid w:val="FFFEAB5F"/>
    <w:rsid w:val="FFFF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next w:val="4"/>
    <w:autoRedefine/>
    <w:qFormat/>
    <w:uiPriority w:val="0"/>
    <w:pPr>
      <w:spacing w:after="140" w:line="276" w:lineRule="auto"/>
    </w:pPr>
    <w:rPr>
      <w:rFonts w:ascii="Times New Roman" w:hAnsi="Times New Roman"/>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ody Text Indent"/>
    <w:basedOn w:val="1"/>
    <w:autoRedefine/>
    <w:qFormat/>
    <w:uiPriority w:val="0"/>
    <w:pPr>
      <w:spacing w:after="120"/>
      <w:ind w:left="420" w:leftChars="200"/>
    </w:pPr>
  </w:style>
  <w:style w:type="paragraph" w:styleId="6">
    <w:name w:val="Body Text Indent 2"/>
    <w:basedOn w:val="1"/>
    <w:next w:val="1"/>
    <w:qFormat/>
    <w:uiPriority w:val="0"/>
    <w:pPr>
      <w:ind w:firstLine="600"/>
    </w:pPr>
    <w:rPr>
      <w:rFonts w:eastAsia="仿宋_GB2312"/>
      <w:sz w:val="32"/>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3"/>
    <w:autoRedefine/>
    <w:unhideWhenUsed/>
    <w:qFormat/>
    <w:uiPriority w:val="99"/>
    <w:pPr>
      <w:ind w:firstLine="420" w:firstLineChars="100"/>
    </w:pPr>
  </w:style>
  <w:style w:type="paragraph" w:styleId="11">
    <w:name w:val="Body Text First Indent 2"/>
    <w:basedOn w:val="5"/>
    <w:next w:val="10"/>
    <w:autoRedefine/>
    <w:qFormat/>
    <w:uiPriority w:val="0"/>
    <w:pPr>
      <w:ind w:firstLine="420" w:firstLineChars="200"/>
    </w:pPr>
  </w:style>
  <w:style w:type="paragraph" w:customStyle="1" w:styleId="14">
    <w:name w:val="UserStyle_0"/>
    <w:qFormat/>
    <w:uiPriority w:val="0"/>
    <w:pPr>
      <w:textAlignment w:val="baseline"/>
    </w:pPr>
    <w:rPr>
      <w:rFonts w:ascii="宋体" w:hAnsi="宋体" w:eastAsia="宋体" w:cs="Times New Roman"/>
      <w:color w:val="000000"/>
      <w:sz w:val="24"/>
      <w:szCs w:val="22"/>
      <w:lang w:val="en-US" w:eastAsia="zh-CN" w:bidi="ar-SA"/>
    </w:rPr>
  </w:style>
  <w:style w:type="paragraph" w:customStyle="1" w:styleId="15">
    <w:name w:val="Body Text Indent 2"/>
    <w:basedOn w:val="1"/>
    <w:autoRedefine/>
    <w:qFormat/>
    <w:uiPriority w:val="0"/>
    <w:pPr>
      <w:spacing w:after="120" w:afterLines="0" w:line="480" w:lineRule="auto"/>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5428</Words>
  <Characters>5606</Characters>
  <Lines>0</Lines>
  <Paragraphs>0</Paragraphs>
  <TotalTime>28</TotalTime>
  <ScaleCrop>false</ScaleCrop>
  <LinksUpToDate>false</LinksUpToDate>
  <CharactersWithSpaces>5614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2023-06-14T14:38:00Z</dcterms:created>
  <dc:creator>yanglinyi</dc:creator>
  <cp:lastModifiedBy>蕾雷</cp:lastModifiedBy>
  <cp:lastPrinted>2023-12-25T16:35:00Z</cp:lastPrinted>
  <dcterms:modified xsi:type="dcterms:W3CDTF">2023-12-29T02:19:24Z</dcterms:modified>
  <dc:title>住房城乡建设部办公厅关于印发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3010CDA936FE4C908537F5FFDEDAAEC4_13</vt:lpwstr>
  </property>
</Properties>
</file>