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before="156" w:beforeLines="50" w:after="156" w:afterLines="50" w:line="560" w:lineRule="exact"/>
        <w:ind w:firstLine="0" w:firstLineChars="0"/>
        <w:jc w:val="center"/>
        <w:textAlignment w:val="auto"/>
        <w:outlineLvl w:val="0"/>
        <w:rPr>
          <w:rFonts w:ascii="方正小标宋简体" w:hAnsi="方正小标宋简体" w:eastAsia="方正小标宋简体"/>
          <w:bCs/>
          <w:sz w:val="44"/>
          <w:szCs w:val="44"/>
        </w:rPr>
      </w:pPr>
      <w:bookmarkStart w:id="0" w:name="_Toc103970393"/>
      <w:bookmarkStart w:id="1" w:name="_Toc103615561"/>
      <w:bookmarkStart w:id="2" w:name="_Toc104026905"/>
      <w:bookmarkStart w:id="3" w:name="_Toc103375146"/>
      <w:bookmarkStart w:id="4" w:name="_Toc103373560"/>
      <w:bookmarkStart w:id="5" w:name="_Toc830654005"/>
      <w:bookmarkStart w:id="6" w:name="_Toc1367956153"/>
      <w:bookmarkStart w:id="7" w:name="_Toc104284230"/>
      <w:bookmarkStart w:id="8" w:name="_Toc104283965"/>
      <w:bookmarkStart w:id="9" w:name="_Toc103375011"/>
      <w:bookmarkStart w:id="10" w:name="_Toc103970059"/>
      <w:bookmarkStart w:id="11" w:name="_Toc103951204"/>
      <w:bookmarkStart w:id="12" w:name="_Toc103951117"/>
      <w:bookmarkStart w:id="13" w:name="_Toc103619188"/>
      <w:bookmarkStart w:id="14" w:name="_Toc81484666"/>
      <w:bookmarkStart w:id="15" w:name="_Toc515962800"/>
      <w:r>
        <w:rPr>
          <w:rFonts w:hint="eastAsia" w:ascii="方正小标宋简体" w:hAnsi="方正小标宋简体" w:eastAsia="方正小标宋简体"/>
          <w:bCs/>
          <w:sz w:val="44"/>
          <w:szCs w:val="44"/>
        </w:rPr>
        <w:t>北京市城市更新条例</w:t>
      </w:r>
      <w:bookmarkEnd w:id="0"/>
      <w:bookmarkEnd w:id="1"/>
      <w:bookmarkEnd w:id="2"/>
      <w:bookmarkEnd w:id="3"/>
      <w:bookmarkEnd w:id="4"/>
      <w:bookmarkEnd w:id="5"/>
      <w:bookmarkEnd w:id="6"/>
      <w:bookmarkEnd w:id="7"/>
      <w:bookmarkEnd w:id="8"/>
      <w:bookmarkEnd w:id="9"/>
      <w:bookmarkEnd w:id="10"/>
      <w:bookmarkEnd w:id="11"/>
      <w:bookmarkEnd w:id="12"/>
      <w:bookmarkEnd w:id="13"/>
    </w:p>
    <w:p>
      <w:pPr>
        <w:keepNext w:val="0"/>
        <w:keepLines w:val="0"/>
        <w:pageBreakBefore w:val="0"/>
        <w:kinsoku/>
        <w:wordWrap/>
        <w:overflowPunct/>
        <w:topLinePunct w:val="0"/>
        <w:bidi w:val="0"/>
        <w:snapToGrid/>
        <w:spacing w:before="156" w:beforeLines="50" w:after="156" w:afterLines="50" w:line="560" w:lineRule="exact"/>
        <w:ind w:firstLine="0" w:firstLineChars="0"/>
        <w:jc w:val="center"/>
        <w:textAlignment w:val="auto"/>
        <w:outlineLvl w:val="0"/>
        <w:rPr>
          <w:rFonts w:ascii="仿宋" w:hAnsi="仿宋" w:cs="Arial"/>
          <w:bCs/>
          <w:iCs/>
          <w:color w:val="000000"/>
          <w:szCs w:val="32"/>
        </w:rPr>
      </w:pPr>
      <w:bookmarkStart w:id="16" w:name="_Toc103970394"/>
      <w:bookmarkStart w:id="17" w:name="_Toc1865113923"/>
      <w:bookmarkStart w:id="18" w:name="_Toc103951205"/>
      <w:bookmarkStart w:id="19" w:name="_Toc103951118"/>
      <w:bookmarkStart w:id="20" w:name="_Toc104283966"/>
      <w:bookmarkStart w:id="21" w:name="_Toc104026906"/>
      <w:bookmarkStart w:id="22" w:name="_Toc103970060"/>
      <w:bookmarkStart w:id="23" w:name="_Toc103619189"/>
      <w:bookmarkStart w:id="24" w:name="_Toc103375147"/>
      <w:bookmarkStart w:id="25" w:name="_Toc104284231"/>
      <w:bookmarkStart w:id="26" w:name="_Toc103375012"/>
      <w:bookmarkStart w:id="27" w:name="_Toc1614886695"/>
      <w:bookmarkStart w:id="28" w:name="_Toc103615562"/>
      <w:bookmarkStart w:id="29" w:name="_Toc103373561"/>
      <w:r>
        <w:rPr>
          <w:rFonts w:hint="eastAsia" w:ascii="仿宋" w:hAnsi="仿宋" w:cs="Arial"/>
          <w:bCs/>
          <w:iCs/>
          <w:color w:val="000000"/>
          <w:szCs w:val="32"/>
        </w:rPr>
        <w:t>（征求意见稿）</w:t>
      </w:r>
      <w:bookmarkEnd w:id="14"/>
      <w:bookmarkEnd w:id="16"/>
      <w:bookmarkEnd w:id="17"/>
      <w:bookmarkEnd w:id="18"/>
      <w:bookmarkEnd w:id="19"/>
      <w:bookmarkEnd w:id="20"/>
      <w:bookmarkEnd w:id="21"/>
      <w:bookmarkEnd w:id="22"/>
      <w:bookmarkEnd w:id="23"/>
      <w:bookmarkEnd w:id="24"/>
      <w:bookmarkEnd w:id="25"/>
      <w:bookmarkEnd w:id="26"/>
      <w:bookmarkEnd w:id="27"/>
      <w:bookmarkEnd w:id="28"/>
      <w:bookmarkEnd w:id="29"/>
    </w:p>
    <w:bookmarkEnd w:id="15"/>
    <w:p>
      <w:pPr>
        <w:pStyle w:val="2"/>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ascii="仿宋" w:hAnsi="仿宋" w:cs="Arial"/>
          <w:bCs/>
          <w:iCs/>
          <w:color w:val="000000"/>
          <w:szCs w:val="32"/>
        </w:rPr>
        <w:t>第一章　　总则</w:t>
      </w:r>
    </w:p>
    <w:p>
      <w:pPr>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ascii="仿宋" w:hAnsi="仿宋" w:cs="Arial"/>
          <w:bCs/>
          <w:iCs/>
          <w:color w:val="000000"/>
          <w:szCs w:val="32"/>
        </w:rPr>
        <w:t>第二章　　城市更新规划与导则</w:t>
      </w:r>
    </w:p>
    <w:p>
      <w:pPr>
        <w:pStyle w:val="2"/>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ascii="仿宋" w:hAnsi="仿宋" w:cs="Arial"/>
          <w:bCs/>
          <w:iCs/>
          <w:color w:val="000000"/>
          <w:szCs w:val="32"/>
        </w:rPr>
        <w:t>第三章　　城市更新规划和土地保障</w:t>
      </w:r>
    </w:p>
    <w:p>
      <w:pPr>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ascii="仿宋" w:hAnsi="仿宋" w:cs="Arial"/>
          <w:bCs/>
          <w:iCs/>
          <w:color w:val="000000"/>
          <w:szCs w:val="32"/>
        </w:rPr>
        <w:t>第四章　　城市更新主体</w:t>
      </w:r>
    </w:p>
    <w:p>
      <w:pPr>
        <w:pStyle w:val="2"/>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ascii="仿宋" w:hAnsi="仿宋" w:cs="Arial"/>
          <w:bCs/>
          <w:iCs/>
          <w:color w:val="000000"/>
          <w:szCs w:val="32"/>
        </w:rPr>
        <w:t>第五章　　城市更新实施</w:t>
      </w:r>
    </w:p>
    <w:p>
      <w:pPr>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ascii="仿宋" w:hAnsi="仿宋" w:cs="Arial"/>
          <w:bCs/>
          <w:iCs/>
          <w:color w:val="000000"/>
          <w:szCs w:val="32"/>
        </w:rPr>
        <w:t>第六章　　监督管理</w:t>
      </w:r>
    </w:p>
    <w:p>
      <w:pPr>
        <w:pStyle w:val="2"/>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ascii="仿宋" w:hAnsi="仿宋" w:cs="Arial"/>
          <w:bCs/>
          <w:iCs/>
          <w:color w:val="000000"/>
          <w:szCs w:val="32"/>
        </w:rPr>
        <w:t>第七章　　法律责任</w:t>
      </w:r>
    </w:p>
    <w:p>
      <w:pPr>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ascii="仿宋" w:hAnsi="仿宋" w:cs="Arial"/>
          <w:bCs/>
          <w:iCs/>
          <w:color w:val="000000"/>
          <w:szCs w:val="32"/>
        </w:rPr>
        <w:t>第八章　　附则</w:t>
      </w:r>
    </w:p>
    <w:p>
      <w:pPr>
        <w:pStyle w:val="2"/>
        <w:keepNext w:val="0"/>
        <w:keepLines w:val="0"/>
        <w:pageBreakBefore w:val="0"/>
        <w:kinsoku/>
        <w:wordWrap/>
        <w:overflowPunct/>
        <w:topLinePunct w:val="0"/>
        <w:bidi w:val="0"/>
        <w:snapToGrid/>
        <w:spacing w:line="560" w:lineRule="exact"/>
        <w:ind w:firstLine="640"/>
        <w:jc w:val="center"/>
        <w:textAlignment w:val="auto"/>
        <w:rPr>
          <w:rFonts w:ascii="仿宋" w:hAnsi="仿宋" w:cs="Arial"/>
          <w:bCs/>
          <w:iCs/>
          <w:color w:val="000000"/>
          <w:szCs w:val="32"/>
        </w:rPr>
      </w:pPr>
      <w:r>
        <w:rPr>
          <w:rFonts w:hint="eastAsia" w:ascii="仿宋" w:hAnsi="仿宋" w:cs="Arial"/>
          <w:bCs/>
          <w:iCs/>
          <w:color w:val="000000"/>
          <w:szCs w:val="32"/>
        </w:rPr>
        <w:t>第一章</w:t>
      </w:r>
      <w:r>
        <w:rPr>
          <w:rFonts w:hint="eastAsia" w:ascii="仿宋" w:hAnsi="仿宋" w:cs="Arial"/>
          <w:bCs/>
          <w:iCs/>
          <w:color w:val="000000"/>
          <w:szCs w:val="32"/>
          <w:lang w:val="en-US" w:eastAsia="zh-CN"/>
        </w:rPr>
        <w:t xml:space="preserve">  </w:t>
      </w:r>
      <w:bookmarkStart w:id="586" w:name="_GoBack"/>
      <w:bookmarkEnd w:id="586"/>
      <w:r>
        <w:rPr>
          <w:rFonts w:hint="eastAsia" w:ascii="仿宋" w:hAnsi="仿宋" w:cs="Arial"/>
          <w:bCs/>
          <w:iCs/>
          <w:color w:val="000000"/>
          <w:szCs w:val="32"/>
        </w:rPr>
        <w:t>总则</w:t>
      </w:r>
    </w:p>
    <w:p>
      <w:pPr>
        <w:pStyle w:val="2"/>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bookmarkStart w:id="30" w:name="_____4"/>
      <w:bookmarkEnd w:id="30"/>
      <w:r>
        <w:rPr>
          <w:rFonts w:hint="eastAsia" w:ascii="仿宋" w:hAnsi="仿宋" w:cs="Arial"/>
          <w:bCs/>
          <w:iCs/>
          <w:color w:val="000000"/>
          <w:szCs w:val="32"/>
        </w:rPr>
        <w:t>第一条　为了落实北京城市总体规划，做好首都城市更新工作，完善城市功能，改善人居环境，加强历史文化保护传承，转变城市建设方式，推动城市高质量发展，以首善标准建设国际一流的和谐宜居之都，根据有关法律、法规，结合本市实际，制定本条例。</w:t>
      </w:r>
    </w:p>
    <w:p>
      <w:pPr>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bookmarkStart w:id="31" w:name="_____6"/>
      <w:bookmarkEnd w:id="31"/>
      <w:bookmarkStart w:id="32" w:name="_Toc81484669"/>
      <w:bookmarkStart w:id="33" w:name="_Toc81486284"/>
      <w:bookmarkStart w:id="34" w:name="_Toc81486408"/>
      <w:bookmarkStart w:id="35" w:name="_Toc1828061145"/>
      <w:bookmarkStart w:id="36" w:name="_Toc13808"/>
      <w:bookmarkStart w:id="37" w:name="_Toc97901664"/>
      <w:r>
        <w:rPr>
          <w:rFonts w:hint="eastAsia" w:ascii="仿宋" w:hAnsi="仿宋" w:cs="Arial"/>
          <w:bCs/>
          <w:iCs/>
          <w:color w:val="000000"/>
          <w:szCs w:val="32"/>
        </w:rPr>
        <w:t>第二条　本市行政区域内的城市更新活动及其监督管理，适用本条例。</w:t>
      </w:r>
    </w:p>
    <w:p>
      <w:pPr>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ascii="仿宋" w:hAnsi="仿宋" w:cs="Arial"/>
          <w:bCs/>
          <w:iCs/>
          <w:color w:val="000000"/>
          <w:szCs w:val="32"/>
        </w:rPr>
        <w:t>本条例所称城市更新，是指对本市建成区内城市空间形态和城市功能的持续完善和优化调整，具体包括：</w:t>
      </w:r>
    </w:p>
    <w:p>
      <w:pPr>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ascii="仿宋" w:hAnsi="仿宋" w:cs="Arial"/>
          <w:bCs/>
          <w:iCs/>
          <w:color w:val="000000"/>
          <w:szCs w:val="32"/>
        </w:rPr>
        <w:t>（一）以保障老旧平房院落、危旧楼房、老旧小区等房屋安全，提升居住品质为主的居住类城市更新；</w:t>
      </w:r>
    </w:p>
    <w:p>
      <w:pPr>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ascii="仿宋" w:hAnsi="仿宋" w:cs="Arial"/>
          <w:bCs/>
          <w:iCs/>
          <w:color w:val="000000"/>
          <w:szCs w:val="32"/>
        </w:rPr>
        <w:t>（二）以推动老旧厂房、低效产业园区、老旧低效楼宇、传统商业设施等存量空间资源提质增效为主的产业类城市更新；</w:t>
      </w:r>
    </w:p>
    <w:p>
      <w:pPr>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ascii="仿宋" w:hAnsi="仿宋" w:cs="Arial"/>
          <w:bCs/>
          <w:iCs/>
          <w:color w:val="000000"/>
          <w:szCs w:val="32"/>
        </w:rPr>
        <w:t>（三）以更新改造老旧市政基础设施、公共服务设施、公共安全设施，保障安全、补足短板为主的设施类城市更新；</w:t>
      </w:r>
    </w:p>
    <w:p>
      <w:pPr>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ascii="仿宋" w:hAnsi="仿宋" w:cs="Arial"/>
          <w:bCs/>
          <w:iCs/>
          <w:color w:val="000000"/>
          <w:szCs w:val="32"/>
        </w:rPr>
        <w:t>（四）以提升绿色空间、滨水空间、慢行系统等环境品质为主的公共空间类城市更新；</w:t>
      </w:r>
    </w:p>
    <w:p>
      <w:pPr>
        <w:pStyle w:val="2"/>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rPr>
        <w:t>（五）以统筹存量资源配置，优化功能布局，实现片区可持续发展的区域综合性城市更新；</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（六）市人民政府确定的其他城市更新活动。</w:t>
      </w:r>
    </w:p>
    <w:p>
      <w:pPr>
        <w:keepNext w:val="0"/>
        <w:keepLines w:val="0"/>
        <w:pageBreakBefore w:val="0"/>
        <w:kinsoku/>
        <w:wordWrap/>
        <w:overflowPunct/>
        <w:topLinePunct w:val="0"/>
        <w:bidi w:val="0"/>
        <w:snapToGrid/>
        <w:spacing w:line="560" w:lineRule="exact"/>
        <w:ind w:firstLine="640"/>
        <w:jc w:val="both"/>
        <w:textAlignment w:val="auto"/>
      </w:pPr>
      <w:r>
        <w:rPr>
          <w:rFonts w:hint="eastAsia"/>
          <w:szCs w:val="32"/>
        </w:rPr>
        <w:t>城市更新活动不包括土地储备、房地产一级开发等项目。</w:t>
      </w:r>
    </w:p>
    <w:bookmarkEnd w:id="32"/>
    <w:bookmarkEnd w:id="33"/>
    <w:bookmarkEnd w:id="34"/>
    <w:bookmarkEnd w:id="35"/>
    <w:bookmarkEnd w:id="36"/>
    <w:bookmarkEnd w:id="37"/>
    <w:p>
      <w:pPr>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bookmarkStart w:id="38" w:name="_Toc81474690"/>
      <w:bookmarkEnd w:id="38"/>
      <w:bookmarkStart w:id="39" w:name="_Toc81484171"/>
      <w:bookmarkEnd w:id="39"/>
      <w:bookmarkStart w:id="40" w:name="_Toc81485395"/>
      <w:bookmarkEnd w:id="40"/>
      <w:bookmarkStart w:id="41" w:name="_Toc81484180"/>
      <w:bookmarkEnd w:id="41"/>
      <w:bookmarkStart w:id="42" w:name="_Toc101008114"/>
      <w:bookmarkEnd w:id="42"/>
      <w:bookmarkStart w:id="43" w:name="_Toc81484479"/>
      <w:bookmarkEnd w:id="43"/>
      <w:bookmarkStart w:id="44" w:name="_Toc81484674"/>
      <w:bookmarkEnd w:id="44"/>
      <w:bookmarkStart w:id="45" w:name="_Toc81484475"/>
      <w:bookmarkEnd w:id="45"/>
      <w:bookmarkStart w:id="46" w:name="_Toc81485393"/>
      <w:bookmarkEnd w:id="46"/>
      <w:bookmarkStart w:id="47" w:name="_Toc81484670"/>
      <w:bookmarkEnd w:id="47"/>
      <w:bookmarkStart w:id="48" w:name="_Toc81485397"/>
      <w:bookmarkEnd w:id="48"/>
      <w:bookmarkStart w:id="49" w:name="_Toc81474691"/>
      <w:bookmarkEnd w:id="49"/>
      <w:bookmarkStart w:id="50" w:name="_Toc81484474"/>
      <w:bookmarkEnd w:id="50"/>
      <w:bookmarkStart w:id="51" w:name="_Toc81484172"/>
      <w:bookmarkEnd w:id="51"/>
      <w:bookmarkStart w:id="52" w:name="_____8"/>
      <w:bookmarkEnd w:id="52"/>
      <w:bookmarkStart w:id="53" w:name="_Toc81484672"/>
      <w:bookmarkEnd w:id="53"/>
      <w:bookmarkStart w:id="54" w:name="_Toc81484169"/>
      <w:bookmarkEnd w:id="54"/>
      <w:bookmarkStart w:id="55" w:name="_Toc81484485"/>
      <w:bookmarkEnd w:id="55"/>
      <w:bookmarkStart w:id="56" w:name="_Toc81484477"/>
      <w:bookmarkEnd w:id="56"/>
      <w:bookmarkStart w:id="57" w:name="_Toc81484681"/>
      <w:bookmarkEnd w:id="57"/>
      <w:bookmarkStart w:id="58" w:name="_Toc81484174"/>
      <w:bookmarkEnd w:id="58"/>
      <w:bookmarkStart w:id="59" w:name="_Toc81484675"/>
      <w:bookmarkEnd w:id="59"/>
      <w:bookmarkStart w:id="60" w:name="_Toc81474692"/>
      <w:bookmarkEnd w:id="60"/>
      <w:bookmarkStart w:id="61" w:name="_Toc81484673"/>
      <w:bookmarkEnd w:id="61"/>
      <w:bookmarkStart w:id="62" w:name="_Toc81484476"/>
      <w:bookmarkEnd w:id="62"/>
      <w:bookmarkStart w:id="63" w:name="_Toc81474693"/>
      <w:bookmarkEnd w:id="63"/>
      <w:bookmarkStart w:id="64" w:name="_Toc81485394"/>
      <w:bookmarkEnd w:id="64"/>
      <w:bookmarkStart w:id="65" w:name="_Toc101007776"/>
      <w:bookmarkEnd w:id="65"/>
      <w:bookmarkStart w:id="66" w:name="_Toc81485396"/>
      <w:bookmarkEnd w:id="66"/>
      <w:bookmarkStart w:id="67" w:name="_Toc81484170"/>
      <w:bookmarkEnd w:id="67"/>
      <w:bookmarkStart w:id="68" w:name="_Toc81474689"/>
      <w:bookmarkEnd w:id="68"/>
      <w:bookmarkStart w:id="69" w:name="_Toc81484173"/>
      <w:bookmarkEnd w:id="69"/>
      <w:bookmarkStart w:id="70" w:name="_Toc81484478"/>
      <w:bookmarkEnd w:id="70"/>
      <w:bookmarkStart w:id="71" w:name="_Toc81485404"/>
      <w:bookmarkEnd w:id="71"/>
      <w:bookmarkStart w:id="72" w:name="_Toc81474699"/>
      <w:bookmarkEnd w:id="72"/>
      <w:bookmarkStart w:id="73" w:name="_Toc81474688"/>
      <w:bookmarkEnd w:id="73"/>
      <w:bookmarkStart w:id="74" w:name="_Toc81485398"/>
      <w:bookmarkEnd w:id="74"/>
      <w:bookmarkStart w:id="75" w:name="_Toc81484671"/>
      <w:bookmarkEnd w:id="75"/>
      <w:r>
        <w:rPr>
          <w:rFonts w:hint="eastAsia"/>
        </w:rPr>
        <w:t>第三条　本市城市更新坚持党的全面领导，坚持以人民为中心，坚持统筹发展与安全，坚持敬畏历史、敬畏文化、敬畏生态，</w:t>
      </w:r>
      <w:r>
        <w:rPr>
          <w:rFonts w:hint="eastAsia" w:ascii="仿宋" w:hAnsi="仿宋" w:cs="Arial"/>
          <w:bCs/>
          <w:iCs/>
          <w:color w:val="000000"/>
          <w:szCs w:val="32"/>
        </w:rPr>
        <w:t>坚持“留改拆”并举。</w:t>
      </w:r>
    </w:p>
    <w:p>
      <w:pPr>
        <w:keepNext w:val="0"/>
        <w:keepLines w:val="0"/>
        <w:pageBreakBefore w:val="0"/>
        <w:kinsoku/>
        <w:wordWrap/>
        <w:overflowPunct/>
        <w:topLinePunct w:val="0"/>
        <w:bidi w:val="0"/>
        <w:snapToGrid/>
        <w:spacing w:line="560" w:lineRule="exact"/>
        <w:ind w:firstLine="640"/>
        <w:jc w:val="both"/>
        <w:textAlignment w:val="auto"/>
        <w:rPr>
          <w:rFonts w:ascii="仿宋" w:hAnsi="仿宋"/>
        </w:rPr>
      </w:pPr>
      <w:r>
        <w:rPr>
          <w:rFonts w:hint="eastAsia"/>
        </w:rPr>
        <w:t>本市城市更新遵循规划引领、有序推进，政府统筹、市场运作，科技赋能、绿色发展，问题导向、问需于民，多元参与、共治共享的原则。</w:t>
      </w:r>
    </w:p>
    <w:p>
      <w:pPr>
        <w:keepNext w:val="0"/>
        <w:keepLines w:val="0"/>
        <w:pageBreakBefore w:val="0"/>
        <w:kinsoku/>
        <w:wordWrap/>
        <w:overflowPunct/>
        <w:topLinePunct w:val="0"/>
        <w:bidi w:val="0"/>
        <w:snapToGrid/>
        <w:spacing w:line="560" w:lineRule="exact"/>
        <w:ind w:firstLine="640"/>
        <w:jc w:val="both"/>
        <w:textAlignment w:val="auto"/>
      </w:pPr>
      <w:bookmarkStart w:id="76" w:name="_____14"/>
      <w:bookmarkEnd w:id="76"/>
      <w:bookmarkStart w:id="77" w:name="_____10"/>
      <w:bookmarkEnd w:id="77"/>
      <w:bookmarkStart w:id="78" w:name="_____12"/>
      <w:bookmarkEnd w:id="78"/>
      <w:r>
        <w:rPr>
          <w:rFonts w:hint="eastAsia"/>
        </w:rPr>
        <w:t>第四条　本市建立健全城市更新组织领导和工作协调机制。市人民政府负责统筹全市城市更新工作，研究、审议城市更新相关重大事项。在市住房城乡建设管理部门设立城市更新综合协调机构，负责城市更新日常工作。</w:t>
      </w:r>
    </w:p>
    <w:p>
      <w:pPr>
        <w:keepNext w:val="0"/>
        <w:keepLines w:val="0"/>
        <w:pageBreakBefore w:val="0"/>
        <w:kinsoku/>
        <w:wordWrap/>
        <w:overflowPunct/>
        <w:topLinePunct w:val="0"/>
        <w:bidi w:val="0"/>
        <w:snapToGrid/>
        <w:spacing w:line="560" w:lineRule="exact"/>
        <w:ind w:firstLine="640"/>
        <w:jc w:val="both"/>
        <w:textAlignment w:val="auto"/>
      </w:pPr>
      <w:bookmarkStart w:id="79" w:name="_____18"/>
      <w:bookmarkEnd w:id="79"/>
      <w:bookmarkStart w:id="80" w:name="_Toc81484686"/>
      <w:bookmarkStart w:id="81" w:name="_Toc81486413"/>
      <w:bookmarkStart w:id="82" w:name="_Toc81486289"/>
      <w:r>
        <w:rPr>
          <w:rFonts w:hint="eastAsia"/>
        </w:rPr>
        <w:t>市住房城乡建设管理部门负责制定城市更新计划并督促实施，跟踪指导城市更新示范项目，建立维护城市更新信息系统，按照职责推进城市更新工作。</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市规划自然资源管理部门负责组织编制市级城市更新专项规划，按照职责研究制定城市更新有关规划、土地政策。</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市发展改革、财政、经济信息化、科技、商务、城市管理、交通、水务、园林绿化、消防、人防、国资、税务、金融监管、市场监管、政务服务、文物、文化旅游、民政、教育、卫生健康、环保等部门，按照职责推进城市更新工作。</w:t>
      </w:r>
    </w:p>
    <w:bookmarkEnd w:id="80"/>
    <w:bookmarkEnd w:id="81"/>
    <w:bookmarkEnd w:id="82"/>
    <w:p>
      <w:pPr>
        <w:keepNext w:val="0"/>
        <w:keepLines w:val="0"/>
        <w:pageBreakBefore w:val="0"/>
        <w:kinsoku/>
        <w:wordWrap/>
        <w:overflowPunct/>
        <w:topLinePunct w:val="0"/>
        <w:bidi w:val="0"/>
        <w:snapToGrid/>
        <w:spacing w:line="560" w:lineRule="exact"/>
        <w:ind w:firstLine="640"/>
        <w:jc w:val="both"/>
        <w:textAlignment w:val="auto"/>
      </w:pPr>
      <w:r>
        <w:rPr>
          <w:rFonts w:hint="eastAsia"/>
        </w:rPr>
        <w:t>第五条　区人民政府（含北京经济技术开发区管委会，下同）负责统筹推进、组织协调和监督管理本辖区城市更新工作。区人民政府应当明确本区城市更新主管部门。区级职能部门应当按照职能分工推进实施城市更新工作。</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街道办事处、乡镇人民政府应当充分发挥“吹哨报到” “接诉即办”等制度作用，负责</w:t>
      </w:r>
      <w:r>
        <w:rPr>
          <w:rFonts w:hint="eastAsia"/>
        </w:rPr>
        <w:t>统筹、支持、配合</w:t>
      </w:r>
      <w:r>
        <w:t>辖区</w:t>
      </w:r>
      <w:r>
        <w:rPr>
          <w:rFonts w:hint="eastAsia"/>
        </w:rPr>
        <w:t>内</w:t>
      </w:r>
      <w:r>
        <w:t>街区更新</w:t>
      </w:r>
      <w:r>
        <w:rPr>
          <w:rFonts w:hint="eastAsia"/>
        </w:rPr>
        <w:t>，</w:t>
      </w:r>
      <w:r>
        <w:rPr>
          <w:rFonts w:hint="eastAsia"/>
          <w:szCs w:val="32"/>
        </w:rPr>
        <w:t>梳理整合辖区资源，搭建城市更新政府、居民、市场主体共建共治共享平台，调解更新项目纠纷。</w:t>
      </w:r>
    </w:p>
    <w:p>
      <w:pPr>
        <w:keepNext w:val="0"/>
        <w:keepLines w:val="0"/>
        <w:pageBreakBefore w:val="0"/>
        <w:kinsoku/>
        <w:wordWrap/>
        <w:overflowPunct/>
        <w:topLinePunct w:val="0"/>
        <w:bidi w:val="0"/>
        <w:snapToGrid/>
        <w:spacing w:line="560" w:lineRule="exact"/>
        <w:ind w:firstLine="640"/>
        <w:jc w:val="both"/>
        <w:textAlignment w:val="auto"/>
      </w:pPr>
      <w:r>
        <w:rPr>
          <w:rFonts w:hint="eastAsia"/>
          <w:szCs w:val="32"/>
        </w:rPr>
        <w:t>居民委员会、村民委员会在街道办事处、乡镇人民政府的指导下开展具体工作，了解、反映居民、村民更新需求，组织居民、村民参与城市更新工作。</w:t>
      </w:r>
    </w:p>
    <w:p>
      <w:pPr>
        <w:keepNext w:val="0"/>
        <w:keepLines w:val="0"/>
        <w:pageBreakBefore w:val="0"/>
        <w:kinsoku/>
        <w:wordWrap/>
        <w:overflowPunct/>
        <w:topLinePunct w:val="0"/>
        <w:bidi w:val="0"/>
        <w:snapToGrid/>
        <w:spacing w:line="560" w:lineRule="exact"/>
        <w:ind w:firstLine="640"/>
        <w:jc w:val="both"/>
        <w:textAlignment w:val="auto"/>
      </w:pPr>
      <w:bookmarkStart w:id="83" w:name="_____26"/>
      <w:bookmarkEnd w:id="83"/>
      <w:bookmarkStart w:id="84" w:name="_Toc91682029"/>
      <w:bookmarkEnd w:id="84"/>
      <w:bookmarkStart w:id="85" w:name="_____28"/>
      <w:bookmarkEnd w:id="85"/>
      <w:bookmarkStart w:id="86" w:name="_Toc97054445"/>
      <w:bookmarkEnd w:id="86"/>
      <w:bookmarkStart w:id="87" w:name="_Toc89969862"/>
      <w:bookmarkEnd w:id="87"/>
      <w:bookmarkStart w:id="88" w:name="_____30"/>
      <w:bookmarkEnd w:id="88"/>
      <w:bookmarkStart w:id="89" w:name="_____24"/>
      <w:bookmarkEnd w:id="89"/>
      <w:bookmarkStart w:id="90" w:name="_Toc89969739"/>
      <w:bookmarkEnd w:id="90"/>
      <w:bookmarkStart w:id="91" w:name="_____22"/>
      <w:bookmarkEnd w:id="91"/>
      <w:bookmarkStart w:id="92" w:name="_Toc97054444"/>
      <w:bookmarkEnd w:id="92"/>
      <w:r>
        <w:rPr>
          <w:rFonts w:hint="eastAsia"/>
        </w:rPr>
        <w:t>第六条　本市建立健全城市更新平等协商共治机制，坚持党建引领，完善、规范物业权利人、利害关系人依法参与城市更新的制度，保障公众在城市更新项目中的知情权、参与权和监督权。</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物业权利人是其持有物业的更新责任人，应当依法开展城市更新活动。</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鼓励社会资本参与城市更新活动，依法保障其合法权益。</w:t>
      </w:r>
    </w:p>
    <w:p>
      <w:pPr>
        <w:keepNext w:val="0"/>
        <w:keepLines w:val="0"/>
        <w:pageBreakBefore w:val="0"/>
        <w:kinsoku/>
        <w:wordWrap/>
        <w:overflowPunct/>
        <w:topLinePunct w:val="0"/>
        <w:bidi w:val="0"/>
        <w:snapToGrid/>
        <w:spacing w:line="560" w:lineRule="exact"/>
        <w:ind w:firstLine="640"/>
        <w:jc w:val="both"/>
        <w:textAlignment w:val="auto"/>
        <w:rPr>
          <w:bCs/>
          <w:iCs/>
        </w:rPr>
      </w:pPr>
      <w:r>
        <w:rPr>
          <w:rFonts w:hint="eastAsia"/>
        </w:rPr>
        <w:t>第七条　本市设立城市更新专家委员会（以下简称专家委员会）。专家委员会按照本条例的规定，开展城市更新有关活动的论证工作，提供咨询意见。专家委员会由相关方面专业人士组成，具体组成办法和工作规则由市住房城乡建设管理部门另行制定。</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建立责任规划师参与制度，发挥技术咨询服务、公众意见征集等作用，并作为独立第三方人员，对项目实施方案研提意见，监督项目实施。</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实行建筑师负责制，充分发挥规划设计工作的引领作用和专业技术优势，统筹考虑建设质量、工期和成本等因素，确保城市更新项目的品质提升。</w:t>
      </w:r>
      <w:bookmarkStart w:id="93" w:name="_Toc97054454"/>
      <w:bookmarkEnd w:id="93"/>
      <w:bookmarkStart w:id="94" w:name="_Toc97054453"/>
      <w:bookmarkEnd w:id="94"/>
      <w:bookmarkStart w:id="95" w:name="_Toc97901672"/>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研发城市更新技术和产品体系，完善城市更新设计标准。</w:t>
      </w:r>
    </w:p>
    <w:p>
      <w:pPr>
        <w:pStyle w:val="2"/>
        <w:keepNext w:val="0"/>
        <w:keepLines w:val="0"/>
        <w:pageBreakBefore w:val="0"/>
        <w:kinsoku/>
        <w:wordWrap/>
        <w:overflowPunct/>
        <w:topLinePunct w:val="0"/>
        <w:bidi w:val="0"/>
        <w:snapToGrid/>
        <w:spacing w:line="560" w:lineRule="exact"/>
        <w:ind w:firstLine="640"/>
        <w:jc w:val="both"/>
        <w:textAlignment w:val="auto"/>
      </w:pPr>
      <w:bookmarkStart w:id="96" w:name="_Toc611318349"/>
      <w:bookmarkStart w:id="97" w:name="_Toc18234"/>
      <w:r>
        <w:rPr>
          <w:rFonts w:hint="eastAsia"/>
        </w:rPr>
        <w:t>第八条　本市建立统一的城市更新信息系统，完善数据共享机制，充分利用信息化、数字化、智能化的新技术开展城市更新工作。</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城市更新专项规划、导则、更新计划、实施主体选定、实施方案以及有关技术标准、政策措施等，应当通过城市更新信息系统向社会公布。</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市、区人民政府及其有关部门依托城市更新信息系统，对城市更新活动进行统筹推进、监督管理，为城市更新项目的实施提供服务保障。</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第九条　坚持小规模、渐进式、可持续的原则，统筹推进首都功能核心区城市更新，促进老城整体保护。</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城市更新专项规划、更新计划以及城市更新项目实施遇有涉及首都功能的重大事项，应当依照相关规定经首都规划建设委员会审议，向党中央、国务院请示报告。</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在京中央单位、驻京部队应当履行在城市更新活动中物业权利人的主体责任，安排相应的更新资金，按照规划要求开展更新活动。</w:t>
      </w:r>
    </w:p>
    <w:p>
      <w:pPr>
        <w:pStyle w:val="2"/>
        <w:keepNext w:val="0"/>
        <w:keepLines w:val="0"/>
        <w:pageBreakBefore w:val="0"/>
        <w:kinsoku/>
        <w:wordWrap/>
        <w:overflowPunct/>
        <w:topLinePunct w:val="0"/>
        <w:bidi w:val="0"/>
        <w:snapToGrid/>
        <w:spacing w:line="560" w:lineRule="exact"/>
        <w:ind w:firstLine="640"/>
        <w:jc w:val="center"/>
        <w:textAlignment w:val="auto"/>
        <w:rPr>
          <w:rFonts w:ascii="仿宋" w:hAnsi="仿宋" w:cs="Arial"/>
          <w:bCs/>
          <w:iCs/>
          <w:color w:val="000000"/>
          <w:szCs w:val="32"/>
        </w:rPr>
      </w:pPr>
      <w:bookmarkStart w:id="98" w:name="_____108"/>
      <w:bookmarkEnd w:id="98"/>
      <w:bookmarkStart w:id="99" w:name="_____110"/>
      <w:bookmarkEnd w:id="99"/>
      <w:bookmarkStart w:id="100" w:name="_Toc97054577"/>
      <w:bookmarkEnd w:id="100"/>
      <w:bookmarkStart w:id="101" w:name="_Toc97054576"/>
      <w:bookmarkEnd w:id="101"/>
      <w:bookmarkStart w:id="102" w:name="_Toc145068395"/>
      <w:bookmarkStart w:id="103" w:name="_Toc1246922011"/>
      <w:r>
        <w:rPr>
          <w:rFonts w:hint="eastAsia" w:ascii="仿宋" w:hAnsi="仿宋" w:cs="Arial"/>
          <w:bCs/>
          <w:iCs/>
          <w:color w:val="000000"/>
          <w:szCs w:val="32"/>
        </w:rPr>
        <w:t xml:space="preserve">第二章 </w:t>
      </w:r>
      <w:r>
        <w:rPr>
          <w:rFonts w:hint="eastAsia" w:ascii="仿宋" w:hAnsi="仿宋" w:cs="Arial"/>
          <w:bCs/>
          <w:iCs/>
          <w:color w:val="000000"/>
          <w:szCs w:val="32"/>
          <w:lang w:val="en-US" w:eastAsia="zh-CN"/>
        </w:rPr>
        <w:t xml:space="preserve"> </w:t>
      </w:r>
      <w:r>
        <w:rPr>
          <w:rFonts w:ascii="仿宋" w:hAnsi="仿宋" w:cs="Arial"/>
          <w:bCs/>
          <w:iCs/>
          <w:color w:val="000000"/>
          <w:szCs w:val="32"/>
        </w:rPr>
        <w:t>城市更新</w:t>
      </w:r>
      <w:bookmarkEnd w:id="96"/>
      <w:bookmarkEnd w:id="102"/>
      <w:r>
        <w:rPr>
          <w:rFonts w:ascii="仿宋" w:hAnsi="仿宋" w:cs="Arial"/>
          <w:bCs/>
          <w:iCs/>
          <w:color w:val="000000"/>
          <w:szCs w:val="32"/>
        </w:rPr>
        <w:t>规划与</w:t>
      </w:r>
      <w:r>
        <w:rPr>
          <w:rFonts w:hint="eastAsia" w:ascii="仿宋" w:hAnsi="仿宋" w:cs="Arial"/>
          <w:bCs/>
          <w:iCs/>
          <w:color w:val="000000"/>
          <w:szCs w:val="32"/>
        </w:rPr>
        <w:t>导则</w:t>
      </w:r>
      <w:bookmarkEnd w:id="103"/>
    </w:p>
    <w:p>
      <w:pPr>
        <w:keepNext w:val="0"/>
        <w:keepLines w:val="0"/>
        <w:pageBreakBefore w:val="0"/>
        <w:widowControl w:val="0"/>
        <w:suppressAutoHyphens/>
        <w:kinsoku/>
        <w:wordWrap/>
        <w:overflowPunct/>
        <w:topLinePunct w:val="0"/>
        <w:bidi w:val="0"/>
        <w:snapToGrid/>
        <w:spacing w:line="560" w:lineRule="exact"/>
        <w:ind w:firstLine="640"/>
        <w:jc w:val="both"/>
        <w:textAlignment w:val="auto"/>
      </w:pPr>
      <w:bookmarkStart w:id="104" w:name="_Toc103970078"/>
      <w:bookmarkEnd w:id="104"/>
      <w:bookmarkStart w:id="105" w:name="_Toc103970412"/>
      <w:bookmarkEnd w:id="105"/>
      <w:bookmarkStart w:id="106" w:name="_Toc103970080"/>
      <w:bookmarkEnd w:id="106"/>
      <w:bookmarkStart w:id="107" w:name="_Toc103970419"/>
      <w:bookmarkEnd w:id="107"/>
      <w:bookmarkStart w:id="108" w:name="_Toc103970075"/>
      <w:bookmarkEnd w:id="108"/>
      <w:bookmarkStart w:id="109" w:name="_Toc103970084"/>
      <w:bookmarkEnd w:id="109"/>
      <w:bookmarkStart w:id="110" w:name="_Toc103970081"/>
      <w:bookmarkEnd w:id="110"/>
      <w:bookmarkStart w:id="111" w:name="_Toc103970085"/>
      <w:bookmarkEnd w:id="111"/>
      <w:bookmarkStart w:id="112" w:name="_Toc103970077"/>
      <w:bookmarkEnd w:id="112"/>
      <w:bookmarkStart w:id="113" w:name="_Toc103970410"/>
      <w:bookmarkEnd w:id="113"/>
      <w:bookmarkStart w:id="114" w:name="_Toc103970414"/>
      <w:bookmarkEnd w:id="114"/>
      <w:bookmarkStart w:id="115" w:name="_Toc103970415"/>
      <w:bookmarkEnd w:id="115"/>
      <w:bookmarkStart w:id="116" w:name="_____34"/>
      <w:bookmarkEnd w:id="116"/>
      <w:bookmarkStart w:id="117" w:name="_Toc103970073"/>
      <w:bookmarkEnd w:id="117"/>
      <w:bookmarkStart w:id="118" w:name="_Toc103970076"/>
      <w:bookmarkEnd w:id="118"/>
      <w:bookmarkStart w:id="119" w:name="_Toc103970082"/>
      <w:bookmarkEnd w:id="119"/>
      <w:bookmarkStart w:id="120" w:name="_____42"/>
      <w:bookmarkEnd w:id="120"/>
      <w:bookmarkStart w:id="121" w:name="_Toc103970416"/>
      <w:bookmarkEnd w:id="121"/>
      <w:bookmarkStart w:id="122" w:name="_Toc103970083"/>
      <w:bookmarkEnd w:id="122"/>
      <w:bookmarkStart w:id="123" w:name="_Toc103970417"/>
      <w:bookmarkEnd w:id="123"/>
      <w:bookmarkStart w:id="124" w:name="_Toc103970409"/>
      <w:bookmarkEnd w:id="124"/>
      <w:bookmarkStart w:id="125" w:name="_Toc103970418"/>
      <w:bookmarkEnd w:id="125"/>
      <w:bookmarkStart w:id="126" w:name="_Toc103970408"/>
      <w:bookmarkEnd w:id="126"/>
      <w:bookmarkStart w:id="127" w:name="_Toc103970411"/>
      <w:bookmarkEnd w:id="127"/>
      <w:bookmarkStart w:id="128" w:name="_Toc103970413"/>
      <w:bookmarkEnd w:id="128"/>
      <w:bookmarkStart w:id="129" w:name="_Toc103970407"/>
      <w:bookmarkEnd w:id="129"/>
      <w:bookmarkStart w:id="130" w:name="_Toc103970074"/>
      <w:bookmarkEnd w:id="130"/>
      <w:bookmarkStart w:id="131" w:name="_Toc103970079"/>
      <w:bookmarkEnd w:id="131"/>
      <w:bookmarkStart w:id="132" w:name="_____36"/>
      <w:bookmarkEnd w:id="132"/>
      <w:bookmarkStart w:id="133" w:name="_Toc470258262"/>
      <w:bookmarkStart w:id="134" w:name="_Toc1692071488"/>
      <w:bookmarkStart w:id="135" w:name="_Toc322507010"/>
      <w:bookmarkStart w:id="136" w:name="_Toc1021675325"/>
      <w:bookmarkStart w:id="137" w:name="_Toc97901678"/>
      <w:bookmarkStart w:id="138" w:name="_Toc26893"/>
      <w:r>
        <w:rPr>
          <w:rFonts w:hint="eastAsia"/>
        </w:rPr>
        <w:t>第十条　本市城市更新落实北京城市总体规划，以首都发展为统领，按照“三级三类”的国土空间规划体系要求，保障首都功能、改善民生福祉、加强生态保护、传承历史文化、提升治理能力、激发城市活力，实现高质量发展。</w:t>
      </w:r>
    </w:p>
    <w:p>
      <w:pPr>
        <w:keepNext w:val="0"/>
        <w:keepLines w:val="0"/>
        <w:pageBreakBefore w:val="0"/>
        <w:widowControl w:val="0"/>
        <w:suppressAutoHyphens/>
        <w:kinsoku/>
        <w:wordWrap/>
        <w:overflowPunct/>
        <w:topLinePunct w:val="0"/>
        <w:bidi w:val="0"/>
        <w:snapToGrid/>
        <w:spacing w:line="560" w:lineRule="exact"/>
        <w:ind w:firstLine="640"/>
        <w:jc w:val="both"/>
        <w:textAlignment w:val="auto"/>
      </w:pPr>
      <w:r>
        <w:rPr>
          <w:rFonts w:hint="eastAsia"/>
        </w:rPr>
        <w:t>通过城市更新专项规划和控制性详细规划对资源和任务进行时空统筹和区域统筹，引领项目实施，推进城市更新工作。</w:t>
      </w:r>
    </w:p>
    <w:p>
      <w:pPr>
        <w:keepNext w:val="0"/>
        <w:keepLines w:val="0"/>
        <w:pageBreakBefore w:val="0"/>
        <w:widowControl w:val="0"/>
        <w:suppressAutoHyphens/>
        <w:kinsoku/>
        <w:wordWrap/>
        <w:overflowPunct/>
        <w:topLinePunct w:val="0"/>
        <w:bidi w:val="0"/>
        <w:snapToGrid/>
        <w:spacing w:line="560" w:lineRule="exact"/>
        <w:ind w:firstLine="640"/>
        <w:jc w:val="both"/>
        <w:textAlignment w:val="auto"/>
      </w:pPr>
      <w:r>
        <w:rPr>
          <w:rFonts w:hint="eastAsia"/>
        </w:rPr>
        <w:t>第十一条　城市更新专项规划是指导本市城市更新工作的总体安排，经批准后纳入控制性详细规划。市级城市更新专项规划由市规划自然资源管理部门负责组织编制，区级城市更新专项规划由区人民政府结合本辖区情况组织编制。</w:t>
      </w:r>
    </w:p>
    <w:p>
      <w:pPr>
        <w:keepNext w:val="0"/>
        <w:keepLines w:val="0"/>
        <w:pageBreakBefore w:val="0"/>
        <w:widowControl w:val="0"/>
        <w:suppressAutoHyphens/>
        <w:kinsoku/>
        <w:wordWrap/>
        <w:overflowPunct/>
        <w:topLinePunct w:val="0"/>
        <w:bidi w:val="0"/>
        <w:snapToGrid/>
        <w:spacing w:line="560" w:lineRule="exact"/>
        <w:ind w:firstLine="640"/>
        <w:jc w:val="both"/>
        <w:textAlignment w:val="auto"/>
      </w:pPr>
      <w:r>
        <w:rPr>
          <w:rFonts w:hint="eastAsia"/>
        </w:rPr>
        <w:t>城市更新专项规划提出更新目标、明确组织体系、划定重点更新区域、完善更新保障机制。</w:t>
      </w:r>
    </w:p>
    <w:p>
      <w:pPr>
        <w:keepNext w:val="0"/>
        <w:keepLines w:val="0"/>
        <w:pageBreakBefore w:val="0"/>
        <w:kinsoku/>
        <w:wordWrap/>
        <w:overflowPunct/>
        <w:topLinePunct w:val="0"/>
        <w:bidi w:val="0"/>
        <w:snapToGrid/>
        <w:spacing w:after="72" w:line="560" w:lineRule="exact"/>
        <w:ind w:firstLine="640"/>
        <w:jc w:val="both"/>
        <w:textAlignment w:val="auto"/>
      </w:pPr>
      <w:r>
        <w:rPr>
          <w:rFonts w:hint="eastAsia"/>
        </w:rPr>
        <w:t>第十二条　市住房城乡建设、发展改革、经济信息化、科技、商务、城市管理、交通、水务、园林绿化等相关行业主管部门会同市规划自然资源管理部门分类制定更新导则，明确更新导向、技术标准、实施方案编制等要求，指导城市更新规范实施。</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第十三条　控制性详细规划是城市更新项目实施的规划依据。区人民政府应当落实总体规划、分区规划要求，开展现状评估，合理确定城市更新规划范围，按照整体统筹原则组织编制控制性详细规划。</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第十四条　编制城市更新专项规划、控制性详细规划前应对街区现状进行评估，分类梳理规划范围内需要更新改造的建筑和空间信息，以及存量资源的分布、功能、规模等信息，自下而上查找问题，提出更新利用的引导方向和实施要求。涉及历史文化资源的，应当开展历史文化资源调查评估。</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居住环境差、存在重大安全隐患、市政基础设施薄弱以及现有土地用途、建筑物使用功能、产业结构不适应经济社会发展等情况的区域，优先进行城市更新。</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第十五条　城市更新项目应当编制城市更新规划和实施方案（以下简称实施方案）。实施方案应当依据控制性详细规划编制；也可与控制性详细规划同步编制，一并上报；重大的城市更新项目可先行编制实施方案，经市政府批准后纳入控制性详细规划。小规模、低风险、功能单一的城市更新项目可直接编制更新项目设计方案。</w:t>
      </w:r>
    </w:p>
    <w:bookmarkEnd w:id="133"/>
    <w:p>
      <w:pPr>
        <w:keepNext w:val="0"/>
        <w:keepLines w:val="0"/>
        <w:pageBreakBefore w:val="0"/>
        <w:kinsoku/>
        <w:wordWrap/>
        <w:overflowPunct/>
        <w:topLinePunct w:val="0"/>
        <w:bidi w:val="0"/>
        <w:snapToGrid/>
        <w:spacing w:line="560" w:lineRule="exact"/>
        <w:ind w:firstLine="640"/>
        <w:jc w:val="both"/>
        <w:textAlignment w:val="auto"/>
      </w:pPr>
      <w:bookmarkStart w:id="139" w:name="_Toc132847530"/>
      <w:r>
        <w:rPr>
          <w:rFonts w:hint="eastAsia"/>
        </w:rPr>
        <w:t>第十六条　开展城市更新活动，应当遵循以下基本要求：</w:t>
      </w:r>
    </w:p>
    <w:p>
      <w:pPr>
        <w:pStyle w:val="27"/>
        <w:keepNext w:val="0"/>
        <w:keepLines w:val="0"/>
        <w:pageBreakBefore w:val="0"/>
        <w:kinsoku/>
        <w:wordWrap/>
        <w:overflowPunct/>
        <w:topLinePunct w:val="0"/>
        <w:bidi w:val="0"/>
        <w:snapToGrid/>
        <w:spacing w:line="560" w:lineRule="exact"/>
        <w:ind w:firstLine="640"/>
        <w:jc w:val="both"/>
        <w:textAlignment w:val="auto"/>
        <w:rPr>
          <w:rFonts w:ascii="仿宋" w:hAnsi="仿宋" w:cs="Times New Roman"/>
          <w:b w:val="0"/>
          <w:bCs w:val="0"/>
          <w:kern w:val="0"/>
          <w:szCs w:val="28"/>
        </w:rPr>
      </w:pPr>
      <w:bookmarkStart w:id="140" w:name="_Toc271863842"/>
      <w:r>
        <w:rPr>
          <w:rFonts w:hint="eastAsia" w:ascii="仿宋" w:hAnsi="仿宋" w:cs="Times New Roman"/>
          <w:b w:val="0"/>
          <w:bCs w:val="0"/>
          <w:kern w:val="0"/>
          <w:szCs w:val="28"/>
        </w:rPr>
        <w:t>（一）</w:t>
      </w:r>
      <w:bookmarkEnd w:id="139"/>
      <w:bookmarkEnd w:id="140"/>
      <w:bookmarkStart w:id="141" w:name="_Toc101007799"/>
      <w:bookmarkEnd w:id="141"/>
      <w:bookmarkStart w:id="142" w:name="_Toc101008135"/>
      <w:bookmarkEnd w:id="142"/>
      <w:bookmarkStart w:id="143" w:name="_Toc101008137"/>
      <w:bookmarkEnd w:id="143"/>
      <w:bookmarkStart w:id="144" w:name="_Toc101007797"/>
      <w:bookmarkEnd w:id="144"/>
      <w:bookmarkStart w:id="145" w:name="_Toc1868091272"/>
      <w:r>
        <w:rPr>
          <w:rFonts w:hint="eastAsia" w:ascii="仿宋" w:hAnsi="仿宋" w:cs="Times New Roman"/>
          <w:b w:val="0"/>
          <w:bCs w:val="0"/>
          <w:kern w:val="0"/>
          <w:szCs w:val="28"/>
        </w:rPr>
        <w:t>城市更新应当与“疏解整治促提升”工作有效衔接。有违法建设的，应当在开展城市更新前先行拆除治理，并合理利用疏解腾退空间。</w:t>
      </w:r>
    </w:p>
    <w:p>
      <w:pPr>
        <w:pStyle w:val="27"/>
        <w:keepNext w:val="0"/>
        <w:keepLines w:val="0"/>
        <w:pageBreakBefore w:val="0"/>
        <w:kinsoku/>
        <w:wordWrap/>
        <w:overflowPunct/>
        <w:topLinePunct w:val="0"/>
        <w:bidi w:val="0"/>
        <w:snapToGrid/>
        <w:spacing w:line="560" w:lineRule="exact"/>
        <w:ind w:firstLine="640"/>
        <w:jc w:val="both"/>
        <w:textAlignment w:val="auto"/>
        <w:rPr>
          <w:rFonts w:ascii="仿宋" w:hAnsi="仿宋" w:cs="Times New Roman"/>
          <w:b w:val="0"/>
          <w:bCs w:val="0"/>
          <w:kern w:val="0"/>
          <w:szCs w:val="28"/>
        </w:rPr>
      </w:pPr>
      <w:bookmarkStart w:id="146" w:name="_Toc2120737970"/>
      <w:bookmarkStart w:id="147" w:name="_Toc1442144409"/>
      <w:r>
        <w:rPr>
          <w:rFonts w:hint="eastAsia" w:ascii="仿宋" w:hAnsi="仿宋" w:cs="Times New Roman"/>
          <w:b w:val="0"/>
          <w:bCs w:val="0"/>
          <w:kern w:val="0"/>
          <w:szCs w:val="28"/>
        </w:rPr>
        <w:t>（二）</w:t>
      </w:r>
      <w:bookmarkEnd w:id="146"/>
      <w:bookmarkEnd w:id="147"/>
      <w:r>
        <w:rPr>
          <w:rFonts w:hint="eastAsia" w:ascii="仿宋" w:hAnsi="仿宋" w:cs="Times New Roman"/>
          <w:b w:val="0"/>
          <w:bCs w:val="0"/>
          <w:kern w:val="0"/>
          <w:szCs w:val="28"/>
        </w:rPr>
        <w:t>城市更新应当通过疏解腾退、功能置换、闲置资源改建等方式，完善区域功能，补齐公共服务、市政基础和公共安全设施短板。</w:t>
      </w:r>
    </w:p>
    <w:p>
      <w:pPr>
        <w:pStyle w:val="27"/>
        <w:keepNext w:val="0"/>
        <w:keepLines w:val="0"/>
        <w:pageBreakBefore w:val="0"/>
        <w:kinsoku/>
        <w:wordWrap/>
        <w:overflowPunct/>
        <w:topLinePunct w:val="0"/>
        <w:bidi w:val="0"/>
        <w:snapToGrid/>
        <w:spacing w:line="560" w:lineRule="exact"/>
        <w:ind w:firstLine="640"/>
        <w:jc w:val="both"/>
        <w:textAlignment w:val="auto"/>
        <w:rPr>
          <w:rFonts w:ascii="仿宋" w:hAnsi="仿宋" w:cs="Times New Roman"/>
          <w:b w:val="0"/>
          <w:bCs w:val="0"/>
          <w:kern w:val="0"/>
          <w:szCs w:val="28"/>
        </w:rPr>
      </w:pPr>
      <w:bookmarkStart w:id="148" w:name="_Toc1408876165"/>
      <w:r>
        <w:rPr>
          <w:rFonts w:hint="eastAsia" w:ascii="仿宋" w:hAnsi="仿宋" w:cs="Times New Roman"/>
          <w:b w:val="0"/>
          <w:bCs w:val="0"/>
          <w:kern w:val="0"/>
          <w:szCs w:val="28"/>
        </w:rPr>
        <w:t>（三）</w:t>
      </w:r>
      <w:bookmarkEnd w:id="148"/>
      <w:r>
        <w:rPr>
          <w:rFonts w:hint="eastAsia" w:ascii="仿宋" w:hAnsi="仿宋" w:cs="Times New Roman"/>
          <w:b w:val="0"/>
          <w:bCs w:val="0"/>
          <w:kern w:val="0"/>
          <w:szCs w:val="28"/>
        </w:rPr>
        <w:t>加强既有建筑定期维护、安全管理、改扩建和拆除管理，落实产权人房屋安全主体责任，在更新时采取有效措施消除危险和严重抗震安全隐患。</w:t>
      </w:r>
    </w:p>
    <w:p>
      <w:pPr>
        <w:pStyle w:val="2"/>
        <w:keepNext w:val="0"/>
        <w:keepLines w:val="0"/>
        <w:pageBreakBefore w:val="0"/>
        <w:kinsoku/>
        <w:wordWrap/>
        <w:overflowPunct/>
        <w:topLinePunct w:val="0"/>
        <w:bidi w:val="0"/>
        <w:snapToGrid/>
        <w:spacing w:line="560" w:lineRule="exact"/>
        <w:ind w:firstLine="640"/>
        <w:jc w:val="both"/>
        <w:textAlignment w:val="auto"/>
        <w:rPr>
          <w:rFonts w:ascii="仿宋" w:hAnsi="仿宋"/>
        </w:rPr>
      </w:pPr>
      <w:r>
        <w:rPr>
          <w:rFonts w:hint="eastAsia" w:ascii="仿宋" w:hAnsi="仿宋"/>
        </w:rPr>
        <w:t>严格控制大规模拆除、增建，拆建比应当符合国家及本市相关规定。</w:t>
      </w:r>
    </w:p>
    <w:p>
      <w:pPr>
        <w:pStyle w:val="2"/>
        <w:keepNext w:val="0"/>
        <w:keepLines w:val="0"/>
        <w:pageBreakBefore w:val="0"/>
        <w:kinsoku/>
        <w:wordWrap/>
        <w:overflowPunct/>
        <w:topLinePunct w:val="0"/>
        <w:bidi w:val="0"/>
        <w:snapToGrid/>
        <w:spacing w:line="560" w:lineRule="exact"/>
        <w:ind w:firstLine="640"/>
        <w:jc w:val="both"/>
        <w:textAlignment w:val="auto"/>
        <w:rPr>
          <w:rFonts w:ascii="仿宋" w:hAnsi="仿宋"/>
        </w:rPr>
      </w:pPr>
      <w:r>
        <w:rPr>
          <w:rFonts w:hint="eastAsia" w:ascii="仿宋" w:hAnsi="仿宋"/>
        </w:rPr>
        <w:t>任何单位和个人在房屋改造过程中不得擅自损坏房屋建筑主体和承重结构。</w:t>
      </w:r>
    </w:p>
    <w:p>
      <w:pPr>
        <w:pStyle w:val="27"/>
        <w:keepNext w:val="0"/>
        <w:keepLines w:val="0"/>
        <w:pageBreakBefore w:val="0"/>
        <w:kinsoku/>
        <w:wordWrap/>
        <w:overflowPunct/>
        <w:topLinePunct w:val="0"/>
        <w:bidi w:val="0"/>
        <w:snapToGrid/>
        <w:spacing w:line="560" w:lineRule="exact"/>
        <w:ind w:firstLine="640"/>
        <w:jc w:val="both"/>
        <w:textAlignment w:val="auto"/>
        <w:rPr>
          <w:rFonts w:ascii="仿宋" w:hAnsi="仿宋" w:cs="Times New Roman"/>
          <w:b w:val="0"/>
          <w:bCs w:val="0"/>
          <w:kern w:val="0"/>
          <w:szCs w:val="28"/>
        </w:rPr>
      </w:pPr>
      <w:bookmarkStart w:id="149" w:name="_Toc717995817"/>
      <w:r>
        <w:rPr>
          <w:rFonts w:hint="eastAsia" w:ascii="仿宋" w:hAnsi="仿宋" w:cs="Times New Roman"/>
          <w:b w:val="0"/>
          <w:bCs w:val="0"/>
          <w:kern w:val="0"/>
          <w:szCs w:val="28"/>
        </w:rPr>
        <w:t>（四）</w:t>
      </w:r>
      <w:bookmarkEnd w:id="145"/>
      <w:bookmarkEnd w:id="149"/>
      <w:r>
        <w:rPr>
          <w:rFonts w:hint="eastAsia" w:ascii="仿宋" w:hAnsi="仿宋" w:cs="Times New Roman"/>
          <w:b w:val="0"/>
          <w:bCs w:val="0"/>
          <w:kern w:val="0"/>
          <w:szCs w:val="28"/>
        </w:rPr>
        <w:t>严格落实城市风貌管控要求。城市更新过程中，不破坏地形地貌，不伐移老树，不挖山填湖，不随意改变和侵占河湖水系，不随意改老地名。落实本市历史文化名城保护要求，挖掘历史文化和时代价值，延续历史文脉，留住乡愁记忆。</w:t>
      </w:r>
    </w:p>
    <w:p>
      <w:pPr>
        <w:pStyle w:val="27"/>
        <w:keepNext w:val="0"/>
        <w:keepLines w:val="0"/>
        <w:pageBreakBefore w:val="0"/>
        <w:kinsoku/>
        <w:wordWrap/>
        <w:overflowPunct/>
        <w:topLinePunct w:val="0"/>
        <w:bidi w:val="0"/>
        <w:snapToGrid/>
        <w:spacing w:line="560" w:lineRule="exact"/>
        <w:ind w:firstLine="640"/>
        <w:jc w:val="both"/>
        <w:textAlignment w:val="auto"/>
        <w:rPr>
          <w:rFonts w:ascii="仿宋" w:hAnsi="仿宋" w:cs="Times New Roman"/>
          <w:b w:val="0"/>
          <w:bCs w:val="0"/>
          <w:kern w:val="0"/>
          <w:szCs w:val="28"/>
        </w:rPr>
      </w:pPr>
      <w:bookmarkStart w:id="150" w:name="_Toc1299815827"/>
      <w:bookmarkStart w:id="151" w:name="_Toc416935860"/>
      <w:r>
        <w:rPr>
          <w:rFonts w:hint="eastAsia" w:ascii="仿宋" w:hAnsi="仿宋" w:cs="Times New Roman"/>
          <w:b w:val="0"/>
          <w:bCs w:val="0"/>
          <w:kern w:val="0"/>
          <w:szCs w:val="28"/>
        </w:rPr>
        <w:t>（五）</w:t>
      </w:r>
      <w:bookmarkEnd w:id="150"/>
      <w:bookmarkEnd w:id="151"/>
      <w:r>
        <w:rPr>
          <w:rFonts w:hint="eastAsia" w:ascii="仿宋" w:hAnsi="仿宋" w:cs="Times New Roman"/>
          <w:b w:val="0"/>
          <w:bCs w:val="0"/>
          <w:kern w:val="0"/>
          <w:szCs w:val="28"/>
        </w:rPr>
        <w:t>城市更新应当落实本市绿色发展要求，开展既有建筑节能绿色化改造，提升建筑能效水平，发挥绿色建筑集约发展效应，打造绿色生态城区。</w:t>
      </w:r>
    </w:p>
    <w:p>
      <w:pPr>
        <w:pStyle w:val="27"/>
        <w:keepNext w:val="0"/>
        <w:keepLines w:val="0"/>
        <w:pageBreakBefore w:val="0"/>
        <w:kinsoku/>
        <w:wordWrap/>
        <w:overflowPunct/>
        <w:topLinePunct w:val="0"/>
        <w:bidi w:val="0"/>
        <w:snapToGrid/>
        <w:spacing w:line="560" w:lineRule="exact"/>
        <w:ind w:firstLine="640"/>
        <w:jc w:val="both"/>
        <w:textAlignment w:val="auto"/>
        <w:rPr>
          <w:rFonts w:ascii="仿宋" w:hAnsi="仿宋" w:cs="Times New Roman"/>
          <w:b w:val="0"/>
          <w:bCs w:val="0"/>
          <w:kern w:val="0"/>
          <w:szCs w:val="28"/>
        </w:rPr>
      </w:pPr>
      <w:bookmarkStart w:id="152" w:name="_Toc525148053"/>
      <w:bookmarkStart w:id="153" w:name="_Toc942629072"/>
      <w:r>
        <w:rPr>
          <w:rFonts w:hint="eastAsia" w:ascii="仿宋" w:hAnsi="仿宋" w:cs="Times New Roman"/>
          <w:b w:val="0"/>
          <w:bCs w:val="0"/>
          <w:kern w:val="0"/>
          <w:szCs w:val="28"/>
        </w:rPr>
        <w:t>（六）</w:t>
      </w:r>
      <w:bookmarkEnd w:id="152"/>
      <w:bookmarkEnd w:id="153"/>
      <w:r>
        <w:rPr>
          <w:rFonts w:hint="eastAsia" w:ascii="仿宋" w:hAnsi="仿宋" w:cs="Times New Roman"/>
          <w:b w:val="0"/>
          <w:bCs w:val="0"/>
          <w:kern w:val="0"/>
          <w:szCs w:val="28"/>
        </w:rPr>
        <w:t>城市更新应当对项目地上地下空间进行综合统筹和一体化、集约化提升改造，提高城市空间资源利用效率。</w:t>
      </w:r>
    </w:p>
    <w:p>
      <w:pPr>
        <w:pStyle w:val="27"/>
        <w:keepNext w:val="0"/>
        <w:keepLines w:val="0"/>
        <w:pageBreakBefore w:val="0"/>
        <w:kinsoku/>
        <w:wordWrap/>
        <w:overflowPunct/>
        <w:topLinePunct w:val="0"/>
        <w:bidi w:val="0"/>
        <w:snapToGrid/>
        <w:spacing w:line="560" w:lineRule="exact"/>
        <w:ind w:firstLine="640"/>
        <w:jc w:val="both"/>
        <w:textAlignment w:val="auto"/>
        <w:rPr>
          <w:rFonts w:ascii="仿宋" w:hAnsi="仿宋" w:cs="Times New Roman"/>
          <w:b w:val="0"/>
          <w:bCs w:val="0"/>
          <w:kern w:val="0"/>
          <w:szCs w:val="28"/>
        </w:rPr>
      </w:pPr>
      <w:bookmarkStart w:id="154" w:name="_Toc529204416"/>
      <w:bookmarkStart w:id="155" w:name="_Toc173981036"/>
      <w:r>
        <w:rPr>
          <w:rFonts w:hint="eastAsia" w:ascii="仿宋" w:hAnsi="仿宋" w:cs="Times New Roman"/>
          <w:b w:val="0"/>
          <w:bCs w:val="0"/>
          <w:kern w:val="0"/>
          <w:szCs w:val="28"/>
        </w:rPr>
        <w:t>（七）</w:t>
      </w:r>
      <w:bookmarkEnd w:id="154"/>
      <w:bookmarkEnd w:id="155"/>
      <w:r>
        <w:rPr>
          <w:rFonts w:hint="eastAsia" w:ascii="仿宋" w:hAnsi="仿宋" w:cs="Times New Roman"/>
          <w:b w:val="0"/>
          <w:bCs w:val="0"/>
          <w:kern w:val="0"/>
          <w:szCs w:val="28"/>
        </w:rPr>
        <w:t>城市更新应当落实海绵城市、韧性城市建设要求，提高城市防涝、防疫、防灾等能力。</w:t>
      </w:r>
    </w:p>
    <w:p>
      <w:pPr>
        <w:pStyle w:val="27"/>
        <w:keepNext w:val="0"/>
        <w:keepLines w:val="0"/>
        <w:pageBreakBefore w:val="0"/>
        <w:kinsoku/>
        <w:wordWrap/>
        <w:overflowPunct/>
        <w:topLinePunct w:val="0"/>
        <w:bidi w:val="0"/>
        <w:snapToGrid/>
        <w:spacing w:line="560" w:lineRule="exact"/>
        <w:ind w:firstLine="640"/>
        <w:jc w:val="both"/>
        <w:textAlignment w:val="auto"/>
        <w:rPr>
          <w:rFonts w:ascii="仿宋" w:hAnsi="仿宋" w:cs="Times New Roman"/>
          <w:b w:val="0"/>
          <w:bCs w:val="0"/>
          <w:kern w:val="0"/>
          <w:szCs w:val="28"/>
        </w:rPr>
      </w:pPr>
      <w:bookmarkStart w:id="156" w:name="_Toc2113608498"/>
      <w:bookmarkStart w:id="157" w:name="_Toc1231149079"/>
      <w:r>
        <w:rPr>
          <w:rFonts w:hint="eastAsia" w:ascii="仿宋" w:hAnsi="仿宋" w:cs="Times New Roman"/>
          <w:b w:val="0"/>
          <w:bCs w:val="0"/>
          <w:kern w:val="0"/>
          <w:szCs w:val="28"/>
        </w:rPr>
        <w:t>（八）</w:t>
      </w:r>
      <w:bookmarkEnd w:id="156"/>
      <w:bookmarkEnd w:id="157"/>
      <w:r>
        <w:rPr>
          <w:rFonts w:hint="eastAsia" w:ascii="仿宋" w:hAnsi="仿宋" w:cs="Times New Roman"/>
          <w:b w:val="0"/>
          <w:bCs w:val="0"/>
          <w:kern w:val="0"/>
          <w:szCs w:val="28"/>
        </w:rPr>
        <w:t>城市更新应当选择先进适用的建筑技术，推动数字技术创新与集成应用，加强科技引领，推进智慧城市建设。</w:t>
      </w:r>
    </w:p>
    <w:p>
      <w:pPr>
        <w:pStyle w:val="27"/>
        <w:keepNext w:val="0"/>
        <w:keepLines w:val="0"/>
        <w:pageBreakBefore w:val="0"/>
        <w:kinsoku/>
        <w:wordWrap/>
        <w:overflowPunct/>
        <w:topLinePunct w:val="0"/>
        <w:bidi w:val="0"/>
        <w:snapToGrid/>
        <w:spacing w:line="560" w:lineRule="exact"/>
        <w:ind w:firstLine="640"/>
        <w:jc w:val="both"/>
        <w:textAlignment w:val="auto"/>
        <w:rPr>
          <w:rFonts w:ascii="仿宋" w:hAnsi="仿宋" w:cs="Times New Roman"/>
          <w:b w:val="0"/>
          <w:bCs w:val="0"/>
          <w:kern w:val="0"/>
          <w:szCs w:val="28"/>
        </w:rPr>
      </w:pPr>
      <w:bookmarkStart w:id="158" w:name="_Toc101008144"/>
      <w:bookmarkEnd w:id="158"/>
      <w:bookmarkStart w:id="159" w:name="_Toc101008145"/>
      <w:bookmarkEnd w:id="159"/>
      <w:bookmarkStart w:id="160" w:name="_Toc101007807"/>
      <w:bookmarkEnd w:id="160"/>
      <w:bookmarkStart w:id="161" w:name="_Toc101007806"/>
      <w:bookmarkEnd w:id="161"/>
      <w:bookmarkStart w:id="162" w:name="_Toc101007808"/>
      <w:bookmarkEnd w:id="162"/>
      <w:bookmarkStart w:id="163" w:name="_Toc101008146"/>
      <w:bookmarkEnd w:id="163"/>
      <w:bookmarkStart w:id="164" w:name="_Toc1227179618"/>
      <w:bookmarkStart w:id="165" w:name="_Toc607508008"/>
      <w:r>
        <w:rPr>
          <w:rFonts w:hint="eastAsia" w:ascii="仿宋" w:hAnsi="仿宋" w:cs="Times New Roman"/>
          <w:b w:val="0"/>
          <w:bCs w:val="0"/>
          <w:kern w:val="0"/>
          <w:szCs w:val="28"/>
        </w:rPr>
        <w:t>（九）</w:t>
      </w:r>
      <w:bookmarkEnd w:id="164"/>
      <w:bookmarkEnd w:id="165"/>
      <w:r>
        <w:rPr>
          <w:rFonts w:hint="eastAsia" w:ascii="仿宋" w:hAnsi="仿宋" w:cs="Times New Roman"/>
          <w:b w:val="0"/>
          <w:bCs w:val="0"/>
          <w:kern w:val="0"/>
          <w:szCs w:val="28"/>
        </w:rPr>
        <w:t>城市更新应当落实本市无障碍环境建设相关要求，持续推进适老化城市、社区、住房改造与建设，系统打造城市适老化宜居环境。</w:t>
      </w:r>
    </w:p>
    <w:p>
      <w:pPr>
        <w:pStyle w:val="27"/>
        <w:keepNext w:val="0"/>
        <w:keepLines w:val="0"/>
        <w:pageBreakBefore w:val="0"/>
        <w:kinsoku/>
        <w:wordWrap/>
        <w:overflowPunct/>
        <w:topLinePunct w:val="0"/>
        <w:bidi w:val="0"/>
        <w:snapToGrid/>
        <w:spacing w:line="560" w:lineRule="exact"/>
        <w:ind w:firstLine="640"/>
        <w:jc w:val="both"/>
        <w:textAlignment w:val="auto"/>
        <w:rPr>
          <w:rFonts w:ascii="仿宋" w:hAnsi="仿宋" w:cs="Times New Roman"/>
          <w:b w:val="0"/>
          <w:bCs w:val="0"/>
          <w:kern w:val="0"/>
          <w:szCs w:val="28"/>
        </w:rPr>
      </w:pPr>
      <w:bookmarkStart w:id="166" w:name="_Toc424112251"/>
      <w:bookmarkStart w:id="167" w:name="_Toc384351307"/>
      <w:r>
        <w:rPr>
          <w:rFonts w:hint="eastAsia" w:ascii="仿宋" w:hAnsi="仿宋" w:cs="Times New Roman"/>
          <w:b w:val="0"/>
          <w:bCs w:val="0"/>
          <w:kern w:val="0"/>
          <w:szCs w:val="28"/>
        </w:rPr>
        <w:t>（十）</w:t>
      </w:r>
      <w:bookmarkEnd w:id="166"/>
      <w:bookmarkEnd w:id="167"/>
      <w:r>
        <w:rPr>
          <w:rFonts w:hint="eastAsia" w:ascii="仿宋" w:hAnsi="仿宋" w:cs="Times New Roman"/>
          <w:b w:val="0"/>
          <w:bCs w:val="0"/>
          <w:kern w:val="0"/>
          <w:szCs w:val="28"/>
        </w:rPr>
        <w:t>城市更新应当建设和完善绿色慢行交通系统，完善城市内部生活性道路网络，构建连续、通畅、安全的步行与自行车道网络。</w:t>
      </w:r>
    </w:p>
    <w:p>
      <w:pPr>
        <w:pStyle w:val="27"/>
        <w:keepNext w:val="0"/>
        <w:keepLines w:val="0"/>
        <w:pageBreakBefore w:val="0"/>
        <w:kinsoku/>
        <w:wordWrap/>
        <w:overflowPunct/>
        <w:topLinePunct w:val="0"/>
        <w:bidi w:val="0"/>
        <w:snapToGrid/>
        <w:spacing w:line="560" w:lineRule="exact"/>
        <w:ind w:firstLine="640"/>
        <w:jc w:val="both"/>
        <w:textAlignment w:val="auto"/>
        <w:rPr>
          <w:rFonts w:ascii="仿宋" w:hAnsi="仿宋" w:cs="Times New Roman"/>
          <w:b w:val="0"/>
          <w:bCs w:val="0"/>
          <w:kern w:val="0"/>
          <w:szCs w:val="28"/>
        </w:rPr>
      </w:pPr>
      <w:bookmarkStart w:id="168" w:name="_Toc1334081003"/>
      <w:r>
        <w:rPr>
          <w:rFonts w:hint="eastAsia" w:ascii="仿宋" w:hAnsi="仿宋" w:cs="Times New Roman"/>
          <w:b w:val="0"/>
          <w:bCs w:val="0"/>
          <w:kern w:val="0"/>
          <w:szCs w:val="28"/>
        </w:rPr>
        <w:t>（十一）</w:t>
      </w:r>
      <w:bookmarkEnd w:id="168"/>
      <w:r>
        <w:rPr>
          <w:rFonts w:hint="eastAsia" w:ascii="仿宋" w:hAnsi="仿宋" w:cs="Times New Roman"/>
          <w:b w:val="0"/>
          <w:bCs w:val="0"/>
          <w:kern w:val="0"/>
          <w:szCs w:val="28"/>
        </w:rPr>
        <w:t>城市更新实施主体与物业权利人应当按照约定合理共担改造成本，共享改造收益。</w:t>
      </w:r>
    </w:p>
    <w:bookmarkEnd w:id="134"/>
    <w:bookmarkEnd w:id="135"/>
    <w:bookmarkEnd w:id="136"/>
    <w:bookmarkEnd w:id="137"/>
    <w:bookmarkEnd w:id="138"/>
    <w:p>
      <w:pPr>
        <w:pStyle w:val="2"/>
        <w:keepNext w:val="0"/>
        <w:keepLines w:val="0"/>
        <w:pageBreakBefore w:val="0"/>
        <w:kinsoku/>
        <w:wordWrap/>
        <w:overflowPunct/>
        <w:topLinePunct w:val="0"/>
        <w:bidi w:val="0"/>
        <w:snapToGrid/>
        <w:spacing w:line="560" w:lineRule="exact"/>
        <w:ind w:firstLine="640"/>
        <w:jc w:val="center"/>
        <w:textAlignment w:val="auto"/>
        <w:rPr>
          <w:rFonts w:ascii="仿宋" w:hAnsi="仿宋" w:cs="Arial"/>
          <w:bCs/>
          <w:iCs/>
          <w:color w:val="000000"/>
          <w:szCs w:val="32"/>
        </w:rPr>
      </w:pPr>
      <w:bookmarkStart w:id="169" w:name="_Toc13030"/>
      <w:bookmarkStart w:id="170" w:name="_Toc81484722"/>
      <w:bookmarkStart w:id="171" w:name="_Toc20325959"/>
      <w:bookmarkStart w:id="172" w:name="_Toc123277186"/>
      <w:bookmarkStart w:id="173" w:name="_Toc81486321"/>
      <w:bookmarkStart w:id="174" w:name="_Toc97901685"/>
      <w:bookmarkStart w:id="175" w:name="_Toc81486445"/>
      <w:bookmarkStart w:id="176" w:name="_Toc944809893"/>
      <w:bookmarkStart w:id="177" w:name="_Toc138127570"/>
      <w:bookmarkStart w:id="178" w:name="_Toc484653792"/>
      <w:r>
        <w:rPr>
          <w:rFonts w:hint="eastAsia" w:ascii="仿宋" w:hAnsi="仿宋" w:cs="Arial"/>
          <w:bCs/>
          <w:iCs/>
          <w:color w:val="000000"/>
          <w:szCs w:val="32"/>
        </w:rPr>
        <w:t>第三章</w:t>
      </w:r>
      <w:r>
        <w:rPr>
          <w:rFonts w:hint="eastAsia" w:ascii="仿宋" w:hAnsi="仿宋" w:cs="Arial"/>
          <w:bCs/>
          <w:iCs/>
          <w:color w:val="000000"/>
          <w:szCs w:val="32"/>
          <w:lang w:val="en-US" w:eastAsia="zh-CN"/>
        </w:rPr>
        <w:t xml:space="preserve"> </w:t>
      </w:r>
      <w:r>
        <w:rPr>
          <w:rFonts w:hint="eastAsia" w:ascii="仿宋" w:hAnsi="仿宋" w:cs="Arial"/>
          <w:bCs/>
          <w:iCs/>
          <w:color w:val="000000"/>
          <w:szCs w:val="32"/>
        </w:rPr>
        <w:t xml:space="preserve"> </w:t>
      </w:r>
      <w:r>
        <w:rPr>
          <w:rFonts w:ascii="仿宋" w:hAnsi="仿宋" w:cs="Arial"/>
          <w:bCs/>
          <w:iCs/>
          <w:color w:val="000000"/>
          <w:szCs w:val="32"/>
        </w:rPr>
        <w:t>城市更新</w:t>
      </w:r>
      <w:bookmarkEnd w:id="169"/>
      <w:bookmarkEnd w:id="170"/>
      <w:bookmarkEnd w:id="171"/>
      <w:bookmarkEnd w:id="172"/>
      <w:bookmarkEnd w:id="173"/>
      <w:bookmarkEnd w:id="174"/>
      <w:bookmarkEnd w:id="175"/>
      <w:r>
        <w:rPr>
          <w:rFonts w:hint="eastAsia" w:ascii="仿宋" w:hAnsi="仿宋" w:cs="Arial"/>
          <w:bCs/>
          <w:iCs/>
          <w:color w:val="000000"/>
          <w:szCs w:val="32"/>
        </w:rPr>
        <w:t>规划和土地保障</w:t>
      </w:r>
      <w:bookmarkEnd w:id="176"/>
    </w:p>
    <w:p>
      <w:pPr>
        <w:keepNext w:val="0"/>
        <w:keepLines w:val="0"/>
        <w:pageBreakBefore w:val="0"/>
        <w:kinsoku/>
        <w:wordWrap/>
        <w:overflowPunct/>
        <w:topLinePunct w:val="0"/>
        <w:bidi w:val="0"/>
        <w:snapToGrid/>
        <w:spacing w:line="560" w:lineRule="exact"/>
        <w:ind w:firstLine="640"/>
        <w:jc w:val="both"/>
        <w:textAlignment w:val="auto"/>
        <w:rPr>
          <w:szCs w:val="32"/>
        </w:rPr>
      </w:pPr>
      <w:bookmarkStart w:id="179" w:name="_Toc103970464"/>
      <w:bookmarkEnd w:id="179"/>
      <w:bookmarkStart w:id="180" w:name="_Toc103970104"/>
      <w:bookmarkEnd w:id="180"/>
      <w:bookmarkStart w:id="181" w:name="_Toc103970119"/>
      <w:bookmarkEnd w:id="181"/>
      <w:bookmarkStart w:id="182" w:name="_Toc103970444"/>
      <w:bookmarkEnd w:id="182"/>
      <w:bookmarkStart w:id="183" w:name="_Toc103970443"/>
      <w:bookmarkEnd w:id="183"/>
      <w:bookmarkStart w:id="184" w:name="_Toc103970466"/>
      <w:bookmarkEnd w:id="184"/>
      <w:bookmarkStart w:id="185" w:name="_Toc103970132"/>
      <w:bookmarkEnd w:id="185"/>
      <w:bookmarkStart w:id="186" w:name="_Toc103970460"/>
      <w:bookmarkEnd w:id="186"/>
      <w:bookmarkStart w:id="187" w:name="_Toc103970116"/>
      <w:bookmarkEnd w:id="187"/>
      <w:bookmarkStart w:id="188" w:name="_Toc103970122"/>
      <w:bookmarkEnd w:id="188"/>
      <w:bookmarkStart w:id="189" w:name="_Toc103970455"/>
      <w:bookmarkEnd w:id="189"/>
      <w:bookmarkStart w:id="190" w:name="_Toc103970112"/>
      <w:bookmarkEnd w:id="190"/>
      <w:bookmarkStart w:id="191" w:name="_Toc103970128"/>
      <w:bookmarkEnd w:id="191"/>
      <w:bookmarkStart w:id="192" w:name="_Toc103970106"/>
      <w:bookmarkEnd w:id="192"/>
      <w:bookmarkStart w:id="193" w:name="_Toc103970111"/>
      <w:bookmarkEnd w:id="193"/>
      <w:bookmarkStart w:id="194" w:name="_Toc103970449"/>
      <w:bookmarkEnd w:id="194"/>
      <w:bookmarkStart w:id="195" w:name="_Toc103970127"/>
      <w:bookmarkEnd w:id="195"/>
      <w:bookmarkStart w:id="196" w:name="_Toc103970123"/>
      <w:bookmarkEnd w:id="196"/>
      <w:bookmarkStart w:id="197" w:name="_Toc103970442"/>
      <w:bookmarkEnd w:id="197"/>
      <w:bookmarkStart w:id="198" w:name="_Toc103970129"/>
      <w:bookmarkEnd w:id="198"/>
      <w:bookmarkStart w:id="199" w:name="_Toc103970126"/>
      <w:bookmarkEnd w:id="199"/>
      <w:bookmarkStart w:id="200" w:name="_Toc103970117"/>
      <w:bookmarkEnd w:id="200"/>
      <w:bookmarkStart w:id="201" w:name="_Toc103970113"/>
      <w:bookmarkEnd w:id="201"/>
      <w:bookmarkStart w:id="202" w:name="_Toc103970109"/>
      <w:bookmarkEnd w:id="202"/>
      <w:bookmarkStart w:id="203" w:name="_Toc103970456"/>
      <w:bookmarkEnd w:id="203"/>
      <w:bookmarkStart w:id="204" w:name="_Toc103970120"/>
      <w:bookmarkEnd w:id="204"/>
      <w:bookmarkStart w:id="205" w:name="_Toc103970452"/>
      <w:bookmarkEnd w:id="205"/>
      <w:bookmarkStart w:id="206" w:name="_Toc103970453"/>
      <w:bookmarkEnd w:id="206"/>
      <w:bookmarkStart w:id="207" w:name="_Toc103970114"/>
      <w:bookmarkEnd w:id="207"/>
      <w:bookmarkStart w:id="208" w:name="_Toc103970465"/>
      <w:bookmarkEnd w:id="208"/>
      <w:bookmarkStart w:id="209" w:name="_Toc103970441"/>
      <w:bookmarkEnd w:id="209"/>
      <w:bookmarkStart w:id="210" w:name="_Toc103970459"/>
      <w:bookmarkEnd w:id="210"/>
      <w:bookmarkStart w:id="211" w:name="_Toc103970125"/>
      <w:bookmarkEnd w:id="211"/>
      <w:bookmarkStart w:id="212" w:name="_Toc103970110"/>
      <w:bookmarkEnd w:id="212"/>
      <w:bookmarkStart w:id="213" w:name="_Toc103970108"/>
      <w:bookmarkEnd w:id="213"/>
      <w:bookmarkStart w:id="214" w:name="_Toc103970118"/>
      <w:bookmarkEnd w:id="214"/>
      <w:bookmarkStart w:id="215" w:name="_Toc103970445"/>
      <w:bookmarkEnd w:id="215"/>
      <w:bookmarkStart w:id="216" w:name="_Toc103970457"/>
      <w:bookmarkEnd w:id="216"/>
      <w:bookmarkStart w:id="217" w:name="_Toc103970438"/>
      <w:bookmarkEnd w:id="217"/>
      <w:bookmarkStart w:id="218" w:name="_Toc103970451"/>
      <w:bookmarkEnd w:id="218"/>
      <w:bookmarkStart w:id="219" w:name="_Toc103970115"/>
      <w:bookmarkEnd w:id="219"/>
      <w:bookmarkStart w:id="220" w:name="_Toc103970124"/>
      <w:bookmarkEnd w:id="220"/>
      <w:bookmarkStart w:id="221" w:name="_Toc103970130"/>
      <w:bookmarkEnd w:id="221"/>
      <w:bookmarkStart w:id="222" w:name="_Toc103970462"/>
      <w:bookmarkEnd w:id="222"/>
      <w:bookmarkStart w:id="223" w:name="_Toc103970440"/>
      <w:bookmarkEnd w:id="223"/>
      <w:bookmarkStart w:id="224" w:name="_Toc103970446"/>
      <w:bookmarkEnd w:id="224"/>
      <w:bookmarkStart w:id="225" w:name="_Toc103970461"/>
      <w:bookmarkEnd w:id="225"/>
      <w:bookmarkStart w:id="226" w:name="_Toc103970458"/>
      <w:bookmarkEnd w:id="226"/>
      <w:bookmarkStart w:id="227" w:name="_Toc103970105"/>
      <w:bookmarkEnd w:id="227"/>
      <w:bookmarkStart w:id="228" w:name="_Toc103970454"/>
      <w:bookmarkEnd w:id="228"/>
      <w:bookmarkStart w:id="229" w:name="_Toc103970439"/>
      <w:bookmarkEnd w:id="229"/>
      <w:bookmarkStart w:id="230" w:name="_Toc103970450"/>
      <w:bookmarkEnd w:id="230"/>
      <w:bookmarkStart w:id="231" w:name="_Toc103970448"/>
      <w:bookmarkEnd w:id="231"/>
      <w:bookmarkStart w:id="232" w:name="_Toc103970107"/>
      <w:bookmarkEnd w:id="232"/>
      <w:bookmarkStart w:id="233" w:name="_Toc103970447"/>
      <w:bookmarkEnd w:id="233"/>
      <w:bookmarkStart w:id="234" w:name="_Toc103970121"/>
      <w:bookmarkEnd w:id="234"/>
      <w:bookmarkStart w:id="235" w:name="_Toc103970131"/>
      <w:bookmarkEnd w:id="235"/>
      <w:bookmarkStart w:id="236" w:name="_Toc103970463"/>
      <w:bookmarkEnd w:id="236"/>
      <w:bookmarkStart w:id="237" w:name="_Toc1823495446"/>
      <w:bookmarkStart w:id="238" w:name="_Toc13603"/>
      <w:bookmarkStart w:id="239" w:name="_Toc1357975533"/>
      <w:bookmarkStart w:id="240" w:name="_Toc97901701"/>
      <w:r>
        <w:rPr>
          <w:rFonts w:hint="eastAsia"/>
          <w:szCs w:val="32"/>
        </w:rPr>
        <w:t>第十七条　在城市更新改造中，为满足安全、环保、无障碍标准而增设必要的消防楼梯、连廊、风道、无障碍设施、电梯、外墙保温、室外开敞性公共空间等附属设施，增加的建筑规模可不计入总建筑规模。</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为保障居民基本生活、补齐城市短板的更新项目，包括公共服务设施、市政基础设施、公共安全设施、危旧楼房成套化改造，</w:t>
      </w:r>
      <w:bookmarkStart w:id="241" w:name="_Hlk104475855"/>
      <w:bookmarkStart w:id="242" w:name="_Hlk104476009"/>
      <w:r>
        <w:rPr>
          <w:rFonts w:hint="eastAsia"/>
          <w:szCs w:val="32"/>
        </w:rPr>
        <w:t>其增加的规模</w:t>
      </w:r>
      <w:bookmarkEnd w:id="241"/>
      <w:r>
        <w:rPr>
          <w:rFonts w:hint="eastAsia"/>
          <w:szCs w:val="32"/>
        </w:rPr>
        <w:t>由各区单独备案统计，</w:t>
      </w:r>
      <w:bookmarkEnd w:id="242"/>
      <w:r>
        <w:rPr>
          <w:rFonts w:hint="eastAsia"/>
          <w:szCs w:val="32"/>
        </w:rPr>
        <w:t>通过市区统筹，实现动态平衡。</w:t>
      </w:r>
    </w:p>
    <w:bookmarkEnd w:id="237"/>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第十八条　为完善城市功能和补齐城市短板，允许存量建筑用途转换。建筑用途转换经批准后，土地用途可兼容或变更。市规划自然资源管理部门应当制定具体规则，明确用途转换和兼容使用的正负面清单、比例管控等政策要求和技术标准。</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鼓励各类存量建筑转换为公共服务设施、城乡基础设施、公共安全设施；允许公共管理和公共服务类建筑用途相互转换；允许商业服务业类建筑用途相互转换；允许工业及仓储类建筑在符合控制性详细规划和工业用地管控要求的前提下，转换为其他用途。</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建筑用途转换符合正面清单和比例管控要求的，允许土地用途兼容，按照不改变规划用地性质和土地用途管理。超过比例管控要求的，应当变更土地用途，按照转换后的主用途管理。变更土地用途的，按照主用途确定建设用地使用权配置方式、使用年期，结合兼容用途及比例确定综合地价。主用途可按照不同建筑用途的建筑规模比例或功能重要性确定。</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住房城乡建设、市场监管、税务、卫生健康、环保、消防等部门应当按照工作职责为建筑用途转换和土地用途兼容使用提供政策和技术支撑，办理建设、使用、运营等相关手续，加强行业管理和安全监管。</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第十九条　建设用地使用权依法采取租赁、出让、先租后让、作价出资（入股）等有偿方式或划拨方式配置。</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采取有偿方式配置建设用地使用权的，可以协议方式办理用地手续。</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根据实施规划需要，或者涉及土地分割处置的，依法由政府收储后，采取公开招标、拍卖、挂牌等方式重新配置建设用地使用权。本市鼓励采取租赁方式配置建设用地使用权。租赁建设用地使用权可依法登记，租赁期满后可以续租。在租赁期内，承租人按规定支付土地租金并完成更新改造后，符合条件的，租赁建设用地使用权可依法转为出让建设用地使用权。</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建设用地使用权租赁、先租后让、作价出资（入股）的具体办法由市人民政府另行制定。</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第二十条　在不改变用地主体的条件下，城市更新项目符合更新规划以及国家和本市支持的产业业态，在5年内实行按原用途、原权利类型使用土地的过渡期政策。</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过渡期内，可按新用途办理规划许可和施工许可手续，不补缴土地价款，不办理不动产登记；过渡期满或转让时，经属地政府评估，符合更新规划和产业发展方向，已实现实施方案既定的使用功能和预期效果的，可按新用途以协议方式办理用地手续。建设用地使用权配置方式、土地使用年期、土地价款评估标准等按照经批准的实施方案和规划许可手续等确定。</w:t>
      </w:r>
    </w:p>
    <w:p>
      <w:pPr>
        <w:keepNext w:val="0"/>
        <w:keepLines w:val="0"/>
        <w:pageBreakBefore w:val="0"/>
        <w:kinsoku/>
        <w:wordWrap/>
        <w:overflowPunct/>
        <w:topLinePunct w:val="0"/>
        <w:bidi w:val="0"/>
        <w:snapToGrid/>
        <w:spacing w:line="560" w:lineRule="exact"/>
        <w:ind w:firstLine="640"/>
        <w:jc w:val="both"/>
        <w:textAlignment w:val="auto"/>
      </w:pPr>
      <w:r>
        <w:rPr>
          <w:rFonts w:hint="eastAsia"/>
          <w:szCs w:val="32"/>
        </w:rPr>
        <w:t>过渡期起始日为核发建筑工程施工许可证的日期；不需要办理建筑工程施工许可证的，起始日为核发建设工程规划许可证的日期。</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第二十一条　鼓励以弹性年期方式配置建设用地使用权。采取租赁方式配置的，土地使用年期最长不得超过20年；采取先租后让方式配置的，租让年期之和不得超过该用途土地出让法定最高年限。建设用地使用权可提前续期，但剩余年期与续期之和不得超过该用途土地出让法定最高年限。</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涉及缴纳或补缴土地价款的，应当考虑土地取得成本、无偿提供公共服务设施、市政基础设施、公共空间以及提供保障性租赁住房等因素，综合确定土地价款。</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采取租赁方式使用土地的，土地租金按年支付或者一次性缴纳，租金标准根据前款及地价评估规定确定。土地租金按年支付的，年租金应当按照市场租金水平定期评估后调整，时间间隔不得超过5年。</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第二十二条　城市更新范围内未办理不动产登记的，但已取得土地、规划审批手续的建筑物，在属地不动产登记机构完成地籍调查后，可纳入实施方案办理相关手续。</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对于审批手续不全、无任何手续、现状与原审批情况不一致等情形，区政府应当组织有关部门进行调查、认定，涉及违反法律法规规章规定的，依照相关规定进行处理。能够按照现状保留完善相关手续的建筑物，可纳入实施方案办理相关手续。</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第二十三条　鼓励合理利用地下、地上空间采取分层开发的方式建设城市公共服务设施。在符合控制性详细规划的前提下，可适当增补停车设施。</w:t>
      </w:r>
    </w:p>
    <w:p>
      <w:pPr>
        <w:keepNext w:val="0"/>
        <w:keepLines w:val="0"/>
        <w:pageBreakBefore w:val="0"/>
        <w:kinsoku/>
        <w:wordWrap/>
        <w:overflowPunct/>
        <w:topLinePunct w:val="0"/>
        <w:bidi w:val="0"/>
        <w:snapToGrid/>
        <w:spacing w:after="120" w:line="560" w:lineRule="exact"/>
        <w:ind w:firstLine="640"/>
        <w:jc w:val="both"/>
        <w:textAlignment w:val="auto"/>
      </w:pPr>
      <w:r>
        <w:rPr>
          <w:rFonts w:hint="eastAsia"/>
        </w:rPr>
        <w:t>未申请或未取得规划建设指标的地上、地下空间，在办理用地、规划手续后，用于补建停车设施的，可以办理独立车位产权及配套设施产权。</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第二十四条　支持利用腾退地下空间用于仓储、便民店、家政等便民商业服务网点及文体中心、社区活动中心、宣教基地、物业办公、养老服务等社区公共配套服务设施，利用腾退地下空间补充完善街区服务功能。</w:t>
      </w:r>
    </w:p>
    <w:p>
      <w:pPr>
        <w:keepNext w:val="0"/>
        <w:keepLines w:val="0"/>
        <w:pageBreakBefore w:val="0"/>
        <w:widowControl w:val="0"/>
        <w:kinsoku/>
        <w:wordWrap/>
        <w:overflowPunct/>
        <w:topLinePunct w:val="0"/>
        <w:bidi w:val="0"/>
        <w:snapToGrid/>
        <w:spacing w:before="120" w:after="120" w:line="560" w:lineRule="exact"/>
        <w:ind w:firstLine="640"/>
        <w:jc w:val="both"/>
        <w:textAlignment w:val="auto"/>
      </w:pPr>
      <w:r>
        <w:rPr>
          <w:rFonts w:hint="eastAsia"/>
        </w:rPr>
        <w:t>第二十五条　城市更新项目确需迁出原物业权利人的，实施主体可以采取产权调换、提供租赁房源或货币补偿等方式，实施产权归集。</w:t>
      </w:r>
    </w:p>
    <w:bookmarkEnd w:id="238"/>
    <w:bookmarkEnd w:id="239"/>
    <w:bookmarkEnd w:id="240"/>
    <w:p>
      <w:pPr>
        <w:pStyle w:val="2"/>
        <w:keepNext w:val="0"/>
        <w:keepLines w:val="0"/>
        <w:pageBreakBefore w:val="0"/>
        <w:kinsoku/>
        <w:wordWrap/>
        <w:overflowPunct/>
        <w:topLinePunct w:val="0"/>
        <w:bidi w:val="0"/>
        <w:snapToGrid/>
        <w:spacing w:line="560" w:lineRule="exact"/>
        <w:ind w:firstLine="640"/>
        <w:jc w:val="center"/>
        <w:textAlignment w:val="auto"/>
        <w:rPr>
          <w:rFonts w:ascii="仿宋" w:hAnsi="仿宋" w:cs="Arial"/>
          <w:bCs/>
          <w:iCs/>
          <w:color w:val="000000"/>
          <w:szCs w:val="32"/>
        </w:rPr>
      </w:pPr>
      <w:bookmarkStart w:id="243" w:name="_Toc89968532"/>
      <w:bookmarkEnd w:id="243"/>
      <w:bookmarkStart w:id="244" w:name="_____114"/>
      <w:bookmarkEnd w:id="244"/>
      <w:bookmarkStart w:id="245" w:name="_Toc91682089"/>
      <w:bookmarkEnd w:id="245"/>
      <w:bookmarkStart w:id="246" w:name="_____130"/>
      <w:bookmarkEnd w:id="246"/>
      <w:bookmarkStart w:id="247" w:name="_Toc89969801"/>
      <w:bookmarkEnd w:id="247"/>
      <w:bookmarkStart w:id="248" w:name="_____116"/>
      <w:bookmarkEnd w:id="248"/>
      <w:bookmarkStart w:id="249" w:name="_____132"/>
      <w:bookmarkEnd w:id="249"/>
      <w:bookmarkStart w:id="250" w:name="_Toc89969924"/>
      <w:bookmarkEnd w:id="250"/>
      <w:bookmarkStart w:id="251" w:name="_Toc89968980"/>
      <w:bookmarkEnd w:id="251"/>
      <w:bookmarkStart w:id="252" w:name="_Toc310153349"/>
      <w:r>
        <w:rPr>
          <w:rFonts w:hint="eastAsia" w:ascii="仿宋" w:hAnsi="仿宋" w:cs="Arial"/>
          <w:bCs/>
          <w:iCs/>
          <w:color w:val="000000"/>
          <w:szCs w:val="32"/>
        </w:rPr>
        <w:t xml:space="preserve">第四章 </w:t>
      </w:r>
      <w:r>
        <w:rPr>
          <w:rFonts w:hint="eastAsia" w:ascii="仿宋" w:hAnsi="仿宋" w:cs="Arial"/>
          <w:bCs/>
          <w:iCs/>
          <w:color w:val="000000"/>
          <w:szCs w:val="32"/>
          <w:lang w:val="en-US" w:eastAsia="zh-CN"/>
        </w:rPr>
        <w:t xml:space="preserve"> </w:t>
      </w:r>
      <w:r>
        <w:rPr>
          <w:rFonts w:ascii="仿宋" w:hAnsi="仿宋" w:cs="Arial"/>
          <w:bCs/>
          <w:iCs/>
          <w:color w:val="000000"/>
          <w:szCs w:val="32"/>
        </w:rPr>
        <w:t>城市更新</w:t>
      </w:r>
      <w:bookmarkEnd w:id="95"/>
      <w:bookmarkEnd w:id="97"/>
      <w:bookmarkEnd w:id="177"/>
      <w:bookmarkEnd w:id="178"/>
      <w:r>
        <w:rPr>
          <w:rFonts w:hint="eastAsia" w:ascii="仿宋" w:hAnsi="仿宋" w:cs="Arial"/>
          <w:bCs/>
          <w:iCs/>
          <w:color w:val="000000"/>
          <w:szCs w:val="32"/>
        </w:rPr>
        <w:t>主体</w:t>
      </w:r>
      <w:bookmarkEnd w:id="252"/>
    </w:p>
    <w:p>
      <w:pPr>
        <w:keepNext w:val="0"/>
        <w:keepLines w:val="0"/>
        <w:pageBreakBefore w:val="0"/>
        <w:kinsoku/>
        <w:wordWrap/>
        <w:overflowPunct/>
        <w:topLinePunct w:val="0"/>
        <w:bidi w:val="0"/>
        <w:snapToGrid/>
        <w:spacing w:line="560" w:lineRule="exact"/>
        <w:ind w:firstLine="640"/>
        <w:jc w:val="both"/>
        <w:textAlignment w:val="auto"/>
      </w:pPr>
      <w:bookmarkStart w:id="253" w:name="_Toc1753931772"/>
      <w:r>
        <w:rPr>
          <w:rFonts w:hint="eastAsia"/>
        </w:rPr>
        <w:t>第二十六条　物业权利人是指城市更新中不动产及其附属设施的所有权人。物业权利人可以依法授权他人代为实施城市更新活动并在授权范围内承担物业权利人责任。　</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公房尚未出售的，产权单位是物业权利人。公房产权单位授权的经营管理单位，可在授权范围内承担物业权利人责任。</w:t>
      </w:r>
    </w:p>
    <w:bookmarkEnd w:id="253"/>
    <w:p>
      <w:pPr>
        <w:keepNext w:val="0"/>
        <w:keepLines w:val="0"/>
        <w:pageBreakBefore w:val="0"/>
        <w:kinsoku/>
        <w:wordWrap/>
        <w:overflowPunct/>
        <w:topLinePunct w:val="0"/>
        <w:bidi w:val="0"/>
        <w:snapToGrid/>
        <w:spacing w:line="560" w:lineRule="exact"/>
        <w:ind w:firstLine="640"/>
        <w:jc w:val="both"/>
        <w:textAlignment w:val="auto"/>
      </w:pPr>
      <w:r>
        <w:rPr>
          <w:rFonts w:hint="eastAsia"/>
        </w:rPr>
        <w:t>第二十七条　物业权利人在城市更新活动中，享有以下权利：</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（一）对自己的不动产及其附属设施自行或委托进行更新，也可以采用联营、入股、租赁等方式进行更新；</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（二）对更新的不动产及其附属设施，依法享有经营权和收益权；</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（三）城市更新项目中涉及多个物业权利人的，享有相应的投票表决权，对共用部位、共用设施设备和相关场地使用享有收益权；</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 xml:space="preserve">（四）对城市更新实施过程享有知情权、监督权和建议权； </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（五）法律法规规定的其他权利。</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物业权利人行使权利不得危及物业的安全，不得损害其他物业权利人的合法权益。</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第二十八条　物业权利人在城市更新活动中，应当遵守以下规定：</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（一）国家及本市城市更新相关法律法规和制度要求；</w:t>
      </w:r>
    </w:p>
    <w:p>
      <w:pPr>
        <w:keepNext w:val="0"/>
        <w:keepLines w:val="0"/>
        <w:pageBreakBefore w:val="0"/>
        <w:kinsoku/>
        <w:wordWrap/>
        <w:overflowPunct/>
        <w:topLinePunct w:val="0"/>
        <w:bidi w:val="0"/>
        <w:snapToGrid/>
        <w:spacing w:line="560" w:lineRule="exact"/>
        <w:ind w:firstLine="640" w:firstLineChars="0"/>
        <w:jc w:val="both"/>
        <w:textAlignment w:val="auto"/>
      </w:pPr>
      <w:r>
        <w:rPr>
          <w:rFonts w:hint="eastAsia"/>
        </w:rPr>
        <w:t>（二）执行在城市更新过程中依照法定程序作出的共同决定或决议；</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（三）配合开展现状调查、意愿调查，参加相关会议并提供相关资料；</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（四）在街道办事处、乡镇人民政府的指导下，开展共同协商；</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（五）在城市更新实施过程中，配合做好腾空房屋、允许施工人员入户作业等工作；</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（六）承担城市更新相关费用和相应的出资责任；</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（七）法律法规关于城市更新的其他规定。</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第二十九条　物业权利人为机关、事业单位或国有企业的，应当根据房屋安全、节能等情况及时对持有物业进行更新；涉及持有物业及存量资源划转、移交或者授权经营的，应当按照城市更新主管部门要求，配合做好相关工作。</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鼓励国有企业承担社会责任，投资、建设、运营城市更新项目。</w:t>
      </w:r>
      <w:r>
        <w:t xml:space="preserve"> </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第三十条　城市更新项目涉及单一物业权利人的，物业权利人可作为实施主体。</w:t>
      </w:r>
      <w:r>
        <w:rPr>
          <w:rFonts w:hint="eastAsia"/>
          <w:color w:val="000000"/>
          <w:szCs w:val="32"/>
        </w:rPr>
        <w:t>城市更新项目涉及多个物业权利人</w:t>
      </w:r>
      <w:r>
        <w:rPr>
          <w:rFonts w:hint="eastAsia"/>
        </w:rPr>
        <w:t>的，协商一致后由其共同委托的物业权利人或者其他主体担任实施主体；无法协商一致的，按照《中华人民共和国民法典》的规定，由物业权利人经表决后确定实施主体。</w:t>
      </w:r>
    </w:p>
    <w:p>
      <w:pPr>
        <w:pStyle w:val="2"/>
        <w:keepNext w:val="0"/>
        <w:keepLines w:val="0"/>
        <w:pageBreakBefore w:val="0"/>
        <w:kinsoku/>
        <w:wordWrap/>
        <w:overflowPunct/>
        <w:topLinePunct w:val="0"/>
        <w:bidi w:val="0"/>
        <w:snapToGrid/>
        <w:spacing w:line="560" w:lineRule="exact"/>
        <w:ind w:firstLine="640"/>
        <w:jc w:val="both"/>
        <w:textAlignment w:val="auto"/>
        <w:rPr>
          <w:color w:val="000000"/>
          <w:szCs w:val="32"/>
        </w:rPr>
      </w:pPr>
      <w:r>
        <w:rPr>
          <w:rFonts w:hint="eastAsia"/>
        </w:rPr>
        <w:t>城市更新项目权属关系复杂，无法依据上述规则确定实施主体的，如项目涉及公共利益、公共安全等情况，可由区人民政府确定实施主体。确定实施主体应当充分征询利害关系人意见，做到公开、公平、公正，</w:t>
      </w:r>
      <w:r>
        <w:rPr>
          <w:rFonts w:hint="eastAsia"/>
          <w:color w:val="000000"/>
          <w:szCs w:val="32"/>
        </w:rPr>
        <w:t>并在城市更新信息系统公示。</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第三十一条　区人民政府依据城市更新专项规划及街区控制性详细规划，可以将区域综合性更新项目或整合多个城市更新项目，划定城市更新实施单元，统一规划、统一实施、统一运营，统筹地上和地下更新，统筹区域更新与分项更新。</w:t>
      </w:r>
    </w:p>
    <w:p>
      <w:pPr>
        <w:keepNext w:val="0"/>
        <w:keepLines w:val="0"/>
        <w:pageBreakBefore w:val="0"/>
        <w:kinsoku/>
        <w:wordWrap/>
        <w:overflowPunct/>
        <w:topLinePunct w:val="0"/>
        <w:bidi w:val="0"/>
        <w:snapToGrid/>
        <w:spacing w:line="560" w:lineRule="exact"/>
        <w:ind w:firstLine="640"/>
        <w:jc w:val="both"/>
        <w:textAlignment w:val="auto"/>
      </w:pPr>
      <w:r>
        <w:rPr>
          <w:rFonts w:hint="eastAsia"/>
          <w:bCs/>
          <w:iCs/>
          <w:szCs w:val="32"/>
        </w:rPr>
        <w:t>区人民政府应当按照公开、公平、公正的原则，确定与更新实施单元范围内城市更新活动相适应的主体作为更新实施单元统筹主体。</w:t>
      </w:r>
      <w:r>
        <w:rPr>
          <w:rFonts w:hint="eastAsia"/>
          <w:szCs w:val="32"/>
        </w:rPr>
        <w:t>更新实施单元统筹主体也可作为项目实施主体。</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区人民政府可根据更新实际需要，赋予更新实施单元统筹主体推动达成区域更新意愿、整合市场资源、推动项目统筹组合、推进更新项目实施等职能。</w:t>
      </w:r>
    </w:p>
    <w:p>
      <w:pPr>
        <w:keepNext w:val="0"/>
        <w:keepLines w:val="0"/>
        <w:pageBreakBefore w:val="0"/>
        <w:kinsoku/>
        <w:wordWrap/>
        <w:overflowPunct/>
        <w:topLinePunct w:val="0"/>
        <w:bidi w:val="0"/>
        <w:snapToGrid/>
        <w:spacing w:line="560" w:lineRule="exact"/>
        <w:ind w:firstLine="640"/>
        <w:jc w:val="both"/>
        <w:textAlignment w:val="auto"/>
        <w:rPr>
          <w:color w:val="FF0000"/>
        </w:rPr>
      </w:pPr>
      <w:r>
        <w:rPr>
          <w:rFonts w:hint="eastAsia"/>
        </w:rPr>
        <w:t>第三十二条　城市更新活动中，相邻的物业权利人应当按照有利生产、方便生活、团结互助、公平合理的原则，正确处理相邻关系。</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在一个物业管理区域内实施电线、电缆、水管、暖气和燃气管线改造等涉及相邻物业权利人的，应当召开业主大会，按照《民法典》第二百七十八条第六项至第八项要求表决通过。物业管理区域建设规模较大的，可分楼栋、分单元开展实施工作并按楼栋、单元计算表决专有面积和业主人数比例。</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第三十三条　在一个物业管理区域内实施更新项目过程中，相邻物业权利人应当执行业主大会决定，提供以下必要的便利：</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（一）配合对现状建筑物及附属设施进行测量、改造、修缮及必要的拆除；</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（二）给予必要的通行区域、施工作业场所；</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（三）提供实施更新改造必要的用水、排水等便利；</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（四）其他更新工作必要的便利。</w:t>
      </w:r>
    </w:p>
    <w:p>
      <w:pPr>
        <w:keepNext w:val="0"/>
        <w:keepLines w:val="0"/>
        <w:pageBreakBefore w:val="0"/>
        <w:kinsoku/>
        <w:wordWrap/>
        <w:overflowPunct/>
        <w:topLinePunct w:val="0"/>
        <w:bidi w:val="0"/>
        <w:snapToGrid/>
        <w:spacing w:line="560" w:lineRule="exact"/>
        <w:ind w:firstLine="640"/>
        <w:jc w:val="both"/>
        <w:textAlignment w:val="auto"/>
        <w:rPr>
          <w:rFonts w:hint="eastAsia"/>
        </w:rPr>
      </w:pPr>
      <w:r>
        <w:rPr>
          <w:rFonts w:hint="eastAsia"/>
        </w:rPr>
        <w:t>第三十四条　在一个物业管理区域内，相邻物业权利人拒不执行业主大会决定、不按照本条例规定提供相关便利条件，相关物业权利人、利害关系人可依法提起诉讼，请求排除妨碍；</w:t>
      </w:r>
      <w:bookmarkStart w:id="254" w:name="_Toc1137306088"/>
      <w:bookmarkStart w:id="255" w:name="_Toc1426100830"/>
      <w:r>
        <w:rPr>
          <w:rFonts w:hint="eastAsia"/>
        </w:rPr>
        <w:t>延误城市更新工作造成实施主体损失的，实施主体可依法要求责任人进行赔偿。</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第三十五条　居住类、产业类、区域综合性更新等涉及多个物业权利人权益及公众利益的城市更新项目，街道办事处、乡镇人民政府或居民委员会、村民委员会可以根据实施主体申请，通过社区议事厅的形式，召开项目确定听证会、实施方案协调会及实施效果评议会，听取意见建议，推进项目实施。</w:t>
      </w:r>
    </w:p>
    <w:bookmarkEnd w:id="254"/>
    <w:p>
      <w:pPr>
        <w:keepNext w:val="0"/>
        <w:keepLines w:val="0"/>
        <w:pageBreakBefore w:val="0"/>
        <w:kinsoku/>
        <w:wordWrap/>
        <w:overflowPunct/>
        <w:topLinePunct w:val="0"/>
        <w:bidi w:val="0"/>
        <w:snapToGrid/>
        <w:spacing w:line="560" w:lineRule="exact"/>
        <w:ind w:firstLine="640"/>
        <w:jc w:val="both"/>
        <w:textAlignment w:val="auto"/>
      </w:pPr>
      <w:r>
        <w:rPr>
          <w:rFonts w:hint="eastAsia"/>
        </w:rPr>
        <w:t>第三十六条　城市更新项目实施方案按照规定程序确定并公开发布后，更新项目区域内物业权利人及利害关系人应当配合改造实施工作。</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拒不配合更新改造的，除按照本条例第三十四条规定进行救济外，实施主体可以依据授权向区城市更新主管部门申请调解；调解不成的，如项目实施涉及公共利益、公共安全等情况，区城市更新主管部门可以依申请作出更新决定。</w:t>
      </w:r>
    </w:p>
    <w:p>
      <w:pPr>
        <w:keepNext w:val="0"/>
        <w:keepLines w:val="0"/>
        <w:pageBreakBefore w:val="0"/>
        <w:kinsoku/>
        <w:wordWrap/>
        <w:overflowPunct/>
        <w:topLinePunct w:val="0"/>
        <w:bidi w:val="0"/>
        <w:snapToGrid/>
        <w:spacing w:line="560" w:lineRule="exact"/>
        <w:ind w:firstLine="640"/>
        <w:jc w:val="both"/>
        <w:textAlignment w:val="auto"/>
        <w:rPr>
          <w:color w:val="FF0000"/>
        </w:rPr>
      </w:pPr>
      <w:r>
        <w:rPr>
          <w:rFonts w:hint="eastAsia"/>
        </w:rPr>
        <w:t>物业权利人及利害关系人对决定不服的，可以依法申请行政复议或者提起行政诉讼。在法定期限内不申请行政复议或者不提起行政诉讼，在决定规定的期限内又不配合的，由区城市更新主管部门依法申请人民法院强制执行。</w:t>
      </w:r>
    </w:p>
    <w:p>
      <w:pPr>
        <w:keepNext w:val="0"/>
        <w:keepLines w:val="0"/>
        <w:pageBreakBefore w:val="0"/>
        <w:kinsoku/>
        <w:wordWrap/>
        <w:overflowPunct/>
        <w:topLinePunct w:val="0"/>
        <w:bidi w:val="0"/>
        <w:snapToGrid/>
        <w:spacing w:line="560" w:lineRule="exact"/>
        <w:ind w:firstLine="640"/>
        <w:jc w:val="both"/>
        <w:textAlignment w:val="auto"/>
      </w:pPr>
      <w:bookmarkStart w:id="256" w:name="_Toc101008201"/>
      <w:bookmarkEnd w:id="256"/>
      <w:bookmarkStart w:id="257" w:name="_Toc101007864"/>
      <w:bookmarkEnd w:id="257"/>
      <w:bookmarkStart w:id="258" w:name="_Toc102145140"/>
      <w:bookmarkEnd w:id="258"/>
      <w:bookmarkStart w:id="259" w:name="_Toc101007860"/>
      <w:bookmarkEnd w:id="259"/>
      <w:bookmarkStart w:id="260" w:name="_Toc101008197"/>
      <w:bookmarkEnd w:id="260"/>
      <w:bookmarkStart w:id="261" w:name="_Toc101007858"/>
      <w:bookmarkEnd w:id="261"/>
      <w:bookmarkStart w:id="262" w:name="_Toc101008200"/>
      <w:bookmarkEnd w:id="262"/>
      <w:bookmarkStart w:id="263" w:name="_Toc101007859"/>
      <w:bookmarkEnd w:id="263"/>
      <w:bookmarkStart w:id="264" w:name="_Toc101008204"/>
      <w:bookmarkEnd w:id="264"/>
      <w:bookmarkStart w:id="265" w:name="_Toc101008198"/>
      <w:bookmarkEnd w:id="265"/>
      <w:bookmarkStart w:id="266" w:name="_Toc101008196"/>
      <w:bookmarkEnd w:id="266"/>
      <w:bookmarkStart w:id="267" w:name="_Toc101007861"/>
      <w:bookmarkEnd w:id="267"/>
      <w:bookmarkStart w:id="268" w:name="_Toc101008203"/>
      <w:bookmarkEnd w:id="268"/>
      <w:bookmarkStart w:id="269" w:name="_Toc101008202"/>
      <w:bookmarkEnd w:id="269"/>
      <w:bookmarkStart w:id="270" w:name="_Toc101008199"/>
      <w:bookmarkEnd w:id="270"/>
      <w:bookmarkStart w:id="271" w:name="_Toc101007862"/>
      <w:bookmarkEnd w:id="271"/>
      <w:bookmarkStart w:id="272" w:name="_Toc101007865"/>
      <w:bookmarkEnd w:id="272"/>
      <w:bookmarkStart w:id="273" w:name="_Toc101007863"/>
      <w:bookmarkEnd w:id="273"/>
      <w:bookmarkStart w:id="274" w:name="_Toc101007866"/>
      <w:bookmarkEnd w:id="274"/>
      <w:r>
        <w:rPr>
          <w:rFonts w:hint="eastAsia"/>
        </w:rPr>
        <w:t>第三十七条　城市更新过程中，涉及公有住房腾退的，可采取房屋置换的方式进行。房屋置换可采取租赁置换和产权置换两种方式。</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城市更新项目范围内公房承租人签订腾退协议比例达到项目实施方案规定要求的，产权单位可依据公有住房租赁合同的约定或法律规定解除未签订腾退协议的承租人承租协议，并妥善安置。解除协议后承租人拒绝腾退的，产权单位、承租人可以按照本条例第三十六条规定执行。</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第三十八条　城市更新过程中需要对私有房屋进行腾退的，城市更新项目范围内物业权利人腾退协议签约比例达到百分之九十五以上的，实施主体与未签约物业权利人可以向区人民政府申请调解。调解不成且项目涉及公共利益的，区人民政府按照《国有土地上房屋征收与补偿条例》有关规定做出征收决定。</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实施房屋征收的，由城市更新实施主体向区人民政府提出征收申请，并同时提交经过经审定的项目实施方案、征收资金来源、安置房源落实等证明文件。</w:t>
      </w:r>
    </w:p>
    <w:bookmarkEnd w:id="255"/>
    <w:p>
      <w:pPr>
        <w:pStyle w:val="2"/>
        <w:keepNext w:val="0"/>
        <w:keepLines w:val="0"/>
        <w:pageBreakBefore w:val="0"/>
        <w:kinsoku/>
        <w:wordWrap/>
        <w:overflowPunct/>
        <w:topLinePunct w:val="0"/>
        <w:bidi w:val="0"/>
        <w:snapToGrid/>
        <w:spacing w:line="560" w:lineRule="exact"/>
        <w:ind w:firstLine="2560" w:firstLineChars="800"/>
        <w:jc w:val="both"/>
        <w:textAlignment w:val="auto"/>
        <w:rPr>
          <w:rFonts w:ascii="仿宋" w:hAnsi="仿宋" w:cs="Arial"/>
          <w:bCs/>
          <w:iCs/>
          <w:color w:val="000000"/>
          <w:szCs w:val="32"/>
        </w:rPr>
      </w:pPr>
      <w:bookmarkStart w:id="275" w:name="_Toc81485453"/>
      <w:bookmarkEnd w:id="275"/>
      <w:bookmarkStart w:id="276" w:name="_Toc81484235"/>
      <w:bookmarkEnd w:id="276"/>
      <w:bookmarkStart w:id="277" w:name="_Toc81484724"/>
      <w:bookmarkEnd w:id="277"/>
      <w:bookmarkStart w:id="278" w:name="_Toc81474742"/>
      <w:bookmarkEnd w:id="278"/>
      <w:bookmarkStart w:id="279" w:name="_Toc89969772"/>
      <w:bookmarkEnd w:id="279"/>
      <w:bookmarkStart w:id="280" w:name="_Toc81474763"/>
      <w:bookmarkEnd w:id="280"/>
      <w:bookmarkStart w:id="281" w:name="_Toc81484223"/>
      <w:bookmarkEnd w:id="281"/>
      <w:bookmarkStart w:id="282" w:name="_Toc81484723"/>
      <w:bookmarkEnd w:id="282"/>
      <w:bookmarkStart w:id="283" w:name="_Toc81484541"/>
      <w:bookmarkEnd w:id="283"/>
      <w:bookmarkStart w:id="284" w:name="_Toc81474748"/>
      <w:bookmarkEnd w:id="284"/>
      <w:bookmarkStart w:id="285" w:name="_Toc81484230"/>
      <w:bookmarkEnd w:id="285"/>
      <w:bookmarkStart w:id="286" w:name="_Toc81484198"/>
      <w:bookmarkEnd w:id="286"/>
      <w:bookmarkStart w:id="287" w:name="_Toc89968955"/>
      <w:bookmarkEnd w:id="287"/>
      <w:bookmarkStart w:id="288" w:name="_Toc81484528"/>
      <w:bookmarkEnd w:id="288"/>
      <w:bookmarkStart w:id="289" w:name="_Toc81485469"/>
      <w:bookmarkEnd w:id="289"/>
      <w:bookmarkStart w:id="290" w:name="_Toc81485461"/>
      <w:bookmarkEnd w:id="290"/>
      <w:bookmarkStart w:id="291" w:name="_Toc81484529"/>
      <w:bookmarkEnd w:id="291"/>
      <w:bookmarkStart w:id="292" w:name="_Toc81484536"/>
      <w:bookmarkEnd w:id="292"/>
      <w:bookmarkStart w:id="293" w:name="_Toc81485467"/>
      <w:bookmarkEnd w:id="293"/>
      <w:bookmarkStart w:id="294" w:name="_Toc81484745"/>
      <w:bookmarkEnd w:id="294"/>
      <w:bookmarkStart w:id="295" w:name="_____64"/>
      <w:bookmarkEnd w:id="295"/>
      <w:bookmarkStart w:id="296" w:name="_Toc81485454"/>
      <w:bookmarkEnd w:id="296"/>
      <w:bookmarkStart w:id="297" w:name="_____54"/>
      <w:bookmarkEnd w:id="297"/>
      <w:bookmarkStart w:id="298" w:name="_Toc81484726"/>
      <w:bookmarkEnd w:id="298"/>
      <w:bookmarkStart w:id="299" w:name="_Toc81484229"/>
      <w:bookmarkEnd w:id="299"/>
      <w:bookmarkStart w:id="300" w:name="_Toc81484730"/>
      <w:bookmarkEnd w:id="300"/>
      <w:bookmarkStart w:id="301" w:name="_____32"/>
      <w:bookmarkEnd w:id="301"/>
      <w:bookmarkStart w:id="302" w:name="_Toc81484739"/>
      <w:bookmarkEnd w:id="302"/>
      <w:bookmarkStart w:id="303" w:name="_Toc81485466"/>
      <w:bookmarkEnd w:id="303"/>
      <w:bookmarkStart w:id="304" w:name="_Toc81484530"/>
      <w:bookmarkEnd w:id="304"/>
      <w:bookmarkStart w:id="305" w:name="_Toc81484725"/>
      <w:bookmarkEnd w:id="305"/>
      <w:bookmarkStart w:id="306" w:name="_Toc81485446"/>
      <w:bookmarkEnd w:id="306"/>
      <w:bookmarkStart w:id="307" w:name="_Toc89968951"/>
      <w:bookmarkEnd w:id="307"/>
      <w:bookmarkStart w:id="308" w:name="_Toc81485473"/>
      <w:bookmarkEnd w:id="308"/>
      <w:bookmarkStart w:id="309" w:name="_Toc81484750"/>
      <w:bookmarkEnd w:id="309"/>
      <w:bookmarkStart w:id="310" w:name="_Toc81485447"/>
      <w:bookmarkEnd w:id="310"/>
      <w:bookmarkStart w:id="311" w:name="_Toc89969895"/>
      <w:bookmarkEnd w:id="311"/>
      <w:bookmarkStart w:id="312" w:name="_Toc81485459"/>
      <w:bookmarkEnd w:id="312"/>
      <w:bookmarkStart w:id="313" w:name="_Toc81474757"/>
      <w:bookmarkEnd w:id="313"/>
      <w:bookmarkStart w:id="314" w:name="_Toc89969898"/>
      <w:bookmarkEnd w:id="314"/>
      <w:bookmarkStart w:id="315" w:name="_Toc89969899"/>
      <w:bookmarkEnd w:id="315"/>
      <w:bookmarkStart w:id="316" w:name="_Toc89969779"/>
      <w:bookmarkEnd w:id="316"/>
      <w:bookmarkStart w:id="317" w:name="_Toc81484243"/>
      <w:bookmarkEnd w:id="317"/>
      <w:bookmarkStart w:id="318" w:name="_Toc81474755"/>
      <w:bookmarkEnd w:id="318"/>
      <w:bookmarkStart w:id="319" w:name="_Toc89969902"/>
      <w:bookmarkEnd w:id="319"/>
      <w:bookmarkStart w:id="320" w:name="_Toc81484737"/>
      <w:bookmarkEnd w:id="320"/>
      <w:bookmarkStart w:id="321" w:name="_Toc81484238"/>
      <w:bookmarkEnd w:id="321"/>
      <w:bookmarkStart w:id="322" w:name="_Toc81484699"/>
      <w:bookmarkEnd w:id="322"/>
      <w:bookmarkStart w:id="323" w:name="_Toc88467060"/>
      <w:bookmarkEnd w:id="323"/>
      <w:bookmarkStart w:id="324" w:name="_____70"/>
      <w:bookmarkEnd w:id="324"/>
      <w:bookmarkStart w:id="325" w:name="_Toc89968503"/>
      <w:bookmarkEnd w:id="325"/>
      <w:bookmarkStart w:id="326" w:name="_Toc89968510"/>
      <w:bookmarkEnd w:id="326"/>
      <w:bookmarkStart w:id="327" w:name="_Toc81485468"/>
      <w:bookmarkEnd w:id="327"/>
      <w:bookmarkStart w:id="328" w:name="_Toc81484542"/>
      <w:bookmarkEnd w:id="328"/>
      <w:bookmarkStart w:id="329" w:name="_Toc81484731"/>
      <w:bookmarkEnd w:id="329"/>
      <w:bookmarkStart w:id="330" w:name="_____62"/>
      <w:bookmarkEnd w:id="330"/>
      <w:bookmarkStart w:id="331" w:name="_Toc81474754"/>
      <w:bookmarkEnd w:id="331"/>
      <w:bookmarkStart w:id="332" w:name="_Toc81484503"/>
      <w:bookmarkEnd w:id="332"/>
      <w:bookmarkStart w:id="333" w:name="_Toc89968958"/>
      <w:bookmarkEnd w:id="333"/>
      <w:bookmarkStart w:id="334" w:name="_Toc81474750"/>
      <w:bookmarkEnd w:id="334"/>
      <w:bookmarkStart w:id="335" w:name="_____68"/>
      <w:bookmarkEnd w:id="335"/>
      <w:bookmarkStart w:id="336" w:name="_____58"/>
      <w:bookmarkEnd w:id="336"/>
      <w:bookmarkStart w:id="337" w:name="_____74"/>
      <w:bookmarkEnd w:id="337"/>
      <w:bookmarkStart w:id="338" w:name="_Toc81474756"/>
      <w:bookmarkEnd w:id="338"/>
      <w:bookmarkStart w:id="339" w:name="_Toc81485462"/>
      <w:bookmarkEnd w:id="339"/>
      <w:bookmarkStart w:id="340" w:name="_Toc81484244"/>
      <w:bookmarkEnd w:id="340"/>
      <w:bookmarkStart w:id="341" w:name="_Toc88467057"/>
      <w:bookmarkEnd w:id="341"/>
      <w:bookmarkStart w:id="342" w:name="_Toc81474768"/>
      <w:bookmarkEnd w:id="342"/>
      <w:bookmarkStart w:id="343" w:name="_Toc91682067"/>
      <w:bookmarkEnd w:id="343"/>
      <w:bookmarkStart w:id="344" w:name="_Toc81485449"/>
      <w:bookmarkEnd w:id="344"/>
      <w:bookmarkStart w:id="345" w:name="_____60"/>
      <w:bookmarkEnd w:id="345"/>
      <w:bookmarkStart w:id="346" w:name="_____50"/>
      <w:bookmarkEnd w:id="346"/>
      <w:bookmarkStart w:id="347" w:name="_Toc81484732"/>
      <w:bookmarkEnd w:id="347"/>
      <w:bookmarkStart w:id="348" w:name="_Toc81484746"/>
      <w:bookmarkEnd w:id="348"/>
      <w:bookmarkStart w:id="349" w:name="_Toc81474761"/>
      <w:bookmarkEnd w:id="349"/>
      <w:bookmarkStart w:id="350" w:name="_Toc81474743"/>
      <w:bookmarkEnd w:id="350"/>
      <w:bookmarkStart w:id="351" w:name="_Toc81484534"/>
      <w:bookmarkEnd w:id="351"/>
      <w:bookmarkStart w:id="352" w:name="_____72"/>
      <w:bookmarkEnd w:id="352"/>
      <w:bookmarkStart w:id="353" w:name="_Toc81485455"/>
      <w:bookmarkEnd w:id="353"/>
      <w:bookmarkStart w:id="354" w:name="_Toc81484744"/>
      <w:bookmarkEnd w:id="354"/>
      <w:bookmarkStart w:id="355" w:name="_Toc89968507"/>
      <w:bookmarkEnd w:id="355"/>
      <w:bookmarkStart w:id="356" w:name="_Toc81484549"/>
      <w:bookmarkEnd w:id="356"/>
      <w:bookmarkStart w:id="357" w:name="_Toc81484249"/>
      <w:bookmarkEnd w:id="357"/>
      <w:bookmarkStart w:id="358" w:name="_Toc81484550"/>
      <w:bookmarkEnd w:id="358"/>
      <w:bookmarkStart w:id="359" w:name="_Toc81484736"/>
      <w:bookmarkEnd w:id="359"/>
      <w:bookmarkStart w:id="360" w:name="_Toc101008160"/>
      <w:bookmarkEnd w:id="360"/>
      <w:bookmarkStart w:id="361" w:name="_Toc81484527"/>
      <w:bookmarkEnd w:id="361"/>
      <w:bookmarkStart w:id="362" w:name="_Toc81474717"/>
      <w:bookmarkEnd w:id="362"/>
      <w:bookmarkStart w:id="363" w:name="_Toc81484540"/>
      <w:bookmarkEnd w:id="363"/>
      <w:bookmarkStart w:id="364" w:name="_Toc81474741"/>
      <w:bookmarkEnd w:id="364"/>
      <w:bookmarkStart w:id="365" w:name="_Toc89968506"/>
      <w:bookmarkEnd w:id="365"/>
      <w:bookmarkStart w:id="366" w:name="_____52"/>
      <w:bookmarkEnd w:id="366"/>
      <w:bookmarkStart w:id="367" w:name="_Toc100917437"/>
      <w:bookmarkEnd w:id="367"/>
      <w:bookmarkStart w:id="368" w:name="_Toc81484738"/>
      <w:bookmarkEnd w:id="368"/>
      <w:bookmarkStart w:id="369" w:name="_____46"/>
      <w:bookmarkEnd w:id="369"/>
      <w:bookmarkStart w:id="370" w:name="_Toc81484237"/>
      <w:bookmarkEnd w:id="370"/>
      <w:bookmarkStart w:id="371" w:name="_Toc81484743"/>
      <w:bookmarkEnd w:id="371"/>
      <w:bookmarkStart w:id="372" w:name="_Toc101007822"/>
      <w:bookmarkEnd w:id="372"/>
      <w:bookmarkStart w:id="373" w:name="_Toc81484547"/>
      <w:bookmarkEnd w:id="373"/>
      <w:bookmarkStart w:id="374" w:name="_Toc81484245"/>
      <w:bookmarkEnd w:id="374"/>
      <w:bookmarkStart w:id="375" w:name="_Toc81485448"/>
      <w:bookmarkEnd w:id="375"/>
      <w:bookmarkStart w:id="376" w:name="_Toc81484535"/>
      <w:bookmarkEnd w:id="376"/>
      <w:bookmarkStart w:id="377" w:name="_Toc81484224"/>
      <w:bookmarkEnd w:id="377"/>
      <w:bookmarkStart w:id="378" w:name="_Toc81484231"/>
      <w:bookmarkEnd w:id="378"/>
      <w:bookmarkStart w:id="379" w:name="_Toc81484225"/>
      <w:bookmarkEnd w:id="379"/>
      <w:bookmarkStart w:id="380" w:name="_Toc81474762"/>
      <w:bookmarkEnd w:id="380"/>
      <w:bookmarkStart w:id="381" w:name="_Toc81474764"/>
      <w:bookmarkEnd w:id="381"/>
      <w:bookmarkStart w:id="382" w:name="_____66"/>
      <w:bookmarkEnd w:id="382"/>
      <w:bookmarkStart w:id="383" w:name="_Toc81484236"/>
      <w:bookmarkEnd w:id="383"/>
      <w:bookmarkStart w:id="384" w:name="_Toc89969775"/>
      <w:bookmarkEnd w:id="384"/>
      <w:bookmarkStart w:id="385" w:name="_Toc91682064"/>
      <w:bookmarkEnd w:id="385"/>
      <w:bookmarkStart w:id="386" w:name="_____44"/>
      <w:bookmarkEnd w:id="386"/>
      <w:bookmarkStart w:id="387" w:name="_Toc81484222"/>
      <w:bookmarkEnd w:id="387"/>
      <w:bookmarkStart w:id="388" w:name="_Toc89969776"/>
      <w:bookmarkEnd w:id="388"/>
      <w:bookmarkStart w:id="389" w:name="_____56"/>
      <w:bookmarkEnd w:id="389"/>
      <w:bookmarkStart w:id="390" w:name="_Toc81485422"/>
      <w:bookmarkEnd w:id="390"/>
      <w:bookmarkStart w:id="391" w:name="_Toc81484548"/>
      <w:bookmarkEnd w:id="391"/>
      <w:bookmarkStart w:id="392" w:name="_Toc91682063"/>
      <w:bookmarkEnd w:id="392"/>
      <w:bookmarkStart w:id="393" w:name="_Toc81484242"/>
      <w:bookmarkEnd w:id="393"/>
      <w:bookmarkStart w:id="394" w:name="_Toc81484554"/>
      <w:bookmarkEnd w:id="394"/>
      <w:bookmarkStart w:id="395" w:name="_Toc81474749"/>
      <w:bookmarkEnd w:id="395"/>
      <w:bookmarkStart w:id="396" w:name="_Toc89968954"/>
      <w:bookmarkEnd w:id="396"/>
      <w:bookmarkStart w:id="397" w:name="_Toc88467063"/>
      <w:bookmarkEnd w:id="397"/>
      <w:bookmarkStart w:id="398" w:name="_Toc81485460"/>
      <w:bookmarkEnd w:id="398"/>
      <w:bookmarkStart w:id="399" w:name="_Toc81484543"/>
      <w:bookmarkEnd w:id="399"/>
      <w:bookmarkStart w:id="400" w:name="_Toc81474744"/>
      <w:bookmarkEnd w:id="400"/>
      <w:bookmarkStart w:id="401" w:name="_Toc91682060"/>
      <w:bookmarkEnd w:id="401"/>
      <w:bookmarkStart w:id="402" w:name="_Toc2095670640"/>
      <w:bookmarkStart w:id="403" w:name="_Toc1100551169"/>
      <w:bookmarkStart w:id="404" w:name="_Toc97901688"/>
      <w:bookmarkStart w:id="405" w:name="_Toc81486451"/>
      <w:bookmarkStart w:id="406" w:name="_Toc9429"/>
      <w:bookmarkStart w:id="407" w:name="_Toc2087536576"/>
      <w:bookmarkStart w:id="408" w:name="_Toc81484756"/>
      <w:bookmarkStart w:id="409" w:name="_Toc81486327"/>
      <w:r>
        <w:rPr>
          <w:rFonts w:hint="eastAsia" w:ascii="仿宋" w:hAnsi="仿宋" w:cs="Arial"/>
          <w:bCs/>
          <w:iCs/>
          <w:color w:val="000000"/>
          <w:szCs w:val="32"/>
        </w:rPr>
        <w:t xml:space="preserve">第五章 </w:t>
      </w:r>
      <w:r>
        <w:rPr>
          <w:rFonts w:hint="eastAsia" w:ascii="仿宋" w:hAnsi="仿宋" w:cs="Arial"/>
          <w:bCs/>
          <w:iCs/>
          <w:color w:val="000000"/>
          <w:szCs w:val="32"/>
          <w:lang w:val="en-US" w:eastAsia="zh-CN"/>
        </w:rPr>
        <w:t xml:space="preserve"> </w:t>
      </w:r>
      <w:r>
        <w:rPr>
          <w:rFonts w:ascii="仿宋" w:hAnsi="仿宋" w:cs="Arial"/>
          <w:bCs/>
          <w:iCs/>
          <w:color w:val="000000"/>
          <w:szCs w:val="32"/>
        </w:rPr>
        <w:t>城市更新</w:t>
      </w:r>
      <w:r>
        <w:rPr>
          <w:rFonts w:hint="eastAsia" w:ascii="仿宋" w:hAnsi="仿宋" w:cs="Arial"/>
          <w:bCs/>
          <w:iCs/>
          <w:color w:val="000000"/>
          <w:szCs w:val="32"/>
        </w:rPr>
        <w:t>实施</w:t>
      </w:r>
      <w:bookmarkEnd w:id="402"/>
    </w:p>
    <w:p>
      <w:pPr>
        <w:pStyle w:val="3"/>
        <w:keepNext w:val="0"/>
        <w:keepLines w:val="0"/>
        <w:pageBreakBefore w:val="0"/>
        <w:kinsoku/>
        <w:wordWrap/>
        <w:overflowPunct/>
        <w:topLinePunct w:val="0"/>
        <w:bidi w:val="0"/>
        <w:snapToGrid/>
        <w:spacing w:line="560" w:lineRule="exact"/>
        <w:jc w:val="center"/>
        <w:textAlignment w:val="auto"/>
        <w:rPr>
          <w:rFonts w:ascii="仿宋" w:hAnsi="仿宋" w:eastAsia="仿宋" w:cs="Arial"/>
          <w:bCs/>
          <w:iCs/>
          <w:kern w:val="0"/>
        </w:rPr>
      </w:pPr>
      <w:bookmarkStart w:id="410" w:name="_Toc168636127"/>
      <w:r>
        <w:rPr>
          <w:rFonts w:hint="eastAsia" w:ascii="仿宋" w:hAnsi="仿宋" w:eastAsia="仿宋" w:cs="Arial"/>
          <w:bCs/>
          <w:iCs/>
          <w:kern w:val="0"/>
        </w:rPr>
        <w:t>第一节  城市更新内容</w:t>
      </w:r>
      <w:bookmarkEnd w:id="410"/>
    </w:p>
    <w:p>
      <w:pPr>
        <w:keepNext w:val="0"/>
        <w:keepLines w:val="0"/>
        <w:pageBreakBefore w:val="0"/>
        <w:kinsoku/>
        <w:wordWrap/>
        <w:overflowPunct/>
        <w:topLinePunct w:val="0"/>
        <w:bidi w:val="0"/>
        <w:snapToGrid/>
        <w:spacing w:line="560" w:lineRule="exact"/>
        <w:ind w:firstLine="640"/>
        <w:jc w:val="both"/>
        <w:textAlignment w:val="auto"/>
        <w:rPr>
          <w:rFonts w:hAnsi="仿宋_GB2312" w:cs="仿宋_GB2312"/>
          <w:bCs/>
        </w:rPr>
      </w:pPr>
      <w:bookmarkStart w:id="411" w:name="_Toc91682074"/>
      <w:bookmarkEnd w:id="411"/>
      <w:bookmarkStart w:id="412" w:name="_Toc89969911"/>
      <w:bookmarkEnd w:id="412"/>
      <w:bookmarkStart w:id="413" w:name="_Toc89968517"/>
      <w:bookmarkEnd w:id="413"/>
      <w:bookmarkStart w:id="414" w:name="_Toc89969786"/>
      <w:bookmarkEnd w:id="414"/>
      <w:bookmarkStart w:id="415" w:name="_Toc89969788"/>
      <w:bookmarkEnd w:id="415"/>
      <w:bookmarkStart w:id="416" w:name="_Toc89968519"/>
      <w:bookmarkEnd w:id="416"/>
      <w:bookmarkStart w:id="417" w:name="_Toc89969909"/>
      <w:bookmarkEnd w:id="417"/>
      <w:bookmarkStart w:id="418" w:name="_Toc88467070"/>
      <w:bookmarkEnd w:id="418"/>
      <w:bookmarkStart w:id="419" w:name="_Toc89968965"/>
      <w:bookmarkEnd w:id="419"/>
      <w:bookmarkStart w:id="420" w:name="_Toc89968967"/>
      <w:bookmarkEnd w:id="420"/>
      <w:bookmarkStart w:id="421" w:name="_Toc91682076"/>
      <w:bookmarkEnd w:id="421"/>
      <w:bookmarkStart w:id="422" w:name="_Toc613991652"/>
      <w:bookmarkStart w:id="423" w:name="_Toc97901690"/>
      <w:bookmarkStart w:id="424" w:name="_Toc1486796296"/>
      <w:bookmarkStart w:id="425" w:name="_Toc15226"/>
      <w:r>
        <w:rPr>
          <w:rFonts w:hint="eastAsia" w:hAnsi="仿宋_GB2312" w:cs="仿宋_GB2312"/>
          <w:bCs/>
        </w:rPr>
        <w:t>第三十九条　实施首都功能核心区平房（院落）保护性修缮、恢复性修建，可采用申请式退租、换租、房屋置换等方式，完善配套功能，改善居住环境，加强历史文化保护，恢复传统四合院基本格局；按照核心区控制性详细规划合理利用腾退房屋，建立健全平房区社会管理机制。核心区以外的地区可以参照执行。</w:t>
      </w:r>
    </w:p>
    <w:p>
      <w:pPr>
        <w:keepNext w:val="0"/>
        <w:keepLines w:val="0"/>
        <w:pageBreakBefore w:val="0"/>
        <w:kinsoku/>
        <w:wordWrap/>
        <w:overflowPunct/>
        <w:topLinePunct w:val="0"/>
        <w:bidi w:val="0"/>
        <w:snapToGrid/>
        <w:spacing w:line="560" w:lineRule="exact"/>
        <w:ind w:firstLine="640"/>
        <w:jc w:val="both"/>
        <w:textAlignment w:val="auto"/>
        <w:rPr>
          <w:rFonts w:hAnsi="仿宋_GB2312" w:cs="仿宋_GB2312"/>
          <w:bCs/>
        </w:rPr>
      </w:pPr>
      <w:r>
        <w:rPr>
          <w:rFonts w:hint="eastAsia" w:hAnsi="仿宋_GB2312" w:cs="仿宋_GB2312"/>
          <w:bCs/>
        </w:rPr>
        <w:t>支持社会资本开展更新房屋再利用，实施主体完成直管公房申请式退租和恢复性修建后，可获得房屋经营权。推进直管公房经营权质押，鼓励金融机构向获得区政府批准授权的实施主体给予贷款支持。</w:t>
      </w:r>
    </w:p>
    <w:p>
      <w:pPr>
        <w:keepNext w:val="0"/>
        <w:keepLines w:val="0"/>
        <w:pageBreakBefore w:val="0"/>
        <w:widowControl w:val="0"/>
        <w:kinsoku/>
        <w:wordWrap/>
        <w:overflowPunct/>
        <w:topLinePunct w:val="0"/>
        <w:bidi w:val="0"/>
        <w:snapToGrid/>
        <w:spacing w:line="560" w:lineRule="exact"/>
        <w:ind w:firstLine="640"/>
        <w:jc w:val="both"/>
        <w:textAlignment w:val="auto"/>
      </w:pPr>
      <w:r>
        <w:rPr>
          <w:rFonts w:hint="eastAsia" w:hAnsi="仿宋_GB2312" w:cs="仿宋_GB2312"/>
          <w:bCs/>
        </w:rPr>
        <w:t>首都功能核心区平房（院落）腾退空间，在</w:t>
      </w:r>
      <w:r>
        <w:rPr>
          <w:rFonts w:hint="eastAsia"/>
        </w:rPr>
        <w:t>满足居民共生院改造和申请式改善的基础上，允许实施主体依据街区控制性详细规划，利用腾退空间发展租赁住房、便民服务及文旅服务等行业。</w:t>
      </w:r>
    </w:p>
    <w:p>
      <w:pPr>
        <w:keepNext w:val="0"/>
        <w:keepLines w:val="0"/>
        <w:pageBreakBefore w:val="0"/>
        <w:kinsoku/>
        <w:wordWrap/>
        <w:overflowPunct/>
        <w:topLinePunct w:val="0"/>
        <w:bidi w:val="0"/>
        <w:snapToGrid/>
        <w:spacing w:line="560" w:lineRule="exact"/>
        <w:ind w:firstLine="640"/>
        <w:jc w:val="both"/>
        <w:textAlignment w:val="auto"/>
        <w:rPr>
          <w:rStyle w:val="64"/>
          <w:rFonts w:ascii="仿宋" w:hAnsi="仿宋" w:cs="仿宋"/>
          <w:kern w:val="2"/>
          <w:szCs w:val="32"/>
        </w:rPr>
      </w:pPr>
      <w:r>
        <w:rPr>
          <w:rStyle w:val="64"/>
          <w:rFonts w:hint="eastAsia" w:ascii="仿宋" w:hAnsi="仿宋" w:cs="仿宋"/>
          <w:kern w:val="2"/>
          <w:szCs w:val="32"/>
        </w:rPr>
        <w:t>第四十条　实施简易楼和危旧楼房改建。建立居民出资、社会筹资参与、政府支持的资金筹集模式，支持居民提取住房公积金或利用公积金贷款用于支付改建成本费用。</w:t>
      </w:r>
    </w:p>
    <w:p>
      <w:pPr>
        <w:keepNext w:val="0"/>
        <w:keepLines w:val="0"/>
        <w:pageBreakBefore w:val="0"/>
        <w:kinsoku/>
        <w:wordWrap/>
        <w:overflowPunct/>
        <w:topLinePunct w:val="0"/>
        <w:bidi w:val="0"/>
        <w:snapToGrid/>
        <w:spacing w:line="560" w:lineRule="exact"/>
        <w:ind w:firstLine="640"/>
        <w:jc w:val="both"/>
        <w:textAlignment w:val="auto"/>
        <w:rPr>
          <w:rStyle w:val="64"/>
          <w:rFonts w:ascii="仿宋" w:hAnsi="仿宋" w:cs="仿宋"/>
          <w:szCs w:val="32"/>
        </w:rPr>
      </w:pPr>
      <w:r>
        <w:rPr>
          <w:rStyle w:val="64"/>
          <w:rFonts w:hint="eastAsia" w:ascii="仿宋" w:hAnsi="仿宋" w:cs="仿宋"/>
          <w:kern w:val="2"/>
          <w:szCs w:val="32"/>
        </w:rPr>
        <w:t>改建项目应当提升规划功能、不增加城市人口，可利用地上、地下空间，补充部分城市功能，适度改善居民居住条件，可适当增加建筑面积作为共有产权住房或保障性租赁住房。</w:t>
      </w:r>
    </w:p>
    <w:p>
      <w:pPr>
        <w:keepNext w:val="0"/>
        <w:keepLines w:val="0"/>
        <w:pageBreakBefore w:val="0"/>
        <w:kinsoku/>
        <w:wordWrap/>
        <w:overflowPunct/>
        <w:topLinePunct w:val="0"/>
        <w:bidi w:val="0"/>
        <w:snapToGrid/>
        <w:spacing w:line="560" w:lineRule="exact"/>
        <w:ind w:firstLine="640"/>
        <w:jc w:val="both"/>
        <w:textAlignment w:val="auto"/>
        <w:rPr>
          <w:rStyle w:val="64"/>
          <w:rFonts w:ascii="仿宋" w:hAnsi="仿宋" w:cs="仿宋"/>
          <w:kern w:val="2"/>
          <w:szCs w:val="32"/>
        </w:rPr>
      </w:pPr>
      <w:r>
        <w:rPr>
          <w:rStyle w:val="64"/>
          <w:rFonts w:hint="eastAsia" w:ascii="仿宋" w:hAnsi="仿宋" w:cs="仿宋"/>
          <w:kern w:val="2"/>
          <w:szCs w:val="32"/>
        </w:rPr>
        <w:t>对于位于重点地区和历史文化街区内的危旧楼房和简易楼，鼓励居民腾退外迁，改善居住条件。</w:t>
      </w:r>
    </w:p>
    <w:p>
      <w:pPr>
        <w:keepNext w:val="0"/>
        <w:keepLines w:val="0"/>
        <w:pageBreakBefore w:val="0"/>
        <w:kinsoku/>
        <w:wordWrap/>
        <w:overflowPunct/>
        <w:topLinePunct w:val="0"/>
        <w:bidi w:val="0"/>
        <w:snapToGrid/>
        <w:spacing w:line="560" w:lineRule="exact"/>
        <w:ind w:firstLine="640"/>
        <w:jc w:val="both"/>
        <w:textAlignment w:val="auto"/>
        <w:rPr>
          <w:rFonts w:ascii="仿宋" w:hAnsi="仿宋"/>
          <w:szCs w:val="32"/>
        </w:rPr>
      </w:pPr>
      <w:r>
        <w:rPr>
          <w:rFonts w:hint="eastAsia" w:ascii="仿宋" w:hAnsi="仿宋"/>
          <w:szCs w:val="32"/>
        </w:rPr>
        <w:t>第四十一条　实施</w:t>
      </w:r>
      <w:r>
        <w:rPr>
          <w:rFonts w:ascii="仿宋" w:hAnsi="仿宋"/>
          <w:szCs w:val="32"/>
        </w:rPr>
        <w:t>老旧小区综合整治改造</w:t>
      </w:r>
      <w:r>
        <w:rPr>
          <w:rFonts w:hint="eastAsia" w:ascii="仿宋" w:hAnsi="仿宋"/>
          <w:szCs w:val="32"/>
        </w:rPr>
        <w:t>。根据</w:t>
      </w:r>
      <w:r>
        <w:rPr>
          <w:rFonts w:ascii="仿宋" w:hAnsi="仿宋"/>
          <w:szCs w:val="32"/>
        </w:rPr>
        <w:t>国家和本市有关要求，</w:t>
      </w:r>
      <w:r>
        <w:rPr>
          <w:rFonts w:hint="eastAsia" w:ascii="仿宋" w:hAnsi="仿宋"/>
          <w:szCs w:val="32"/>
        </w:rPr>
        <w:t>明确</w:t>
      </w:r>
      <w:r>
        <w:rPr>
          <w:rFonts w:ascii="仿宋" w:hAnsi="仿宋"/>
          <w:szCs w:val="32"/>
        </w:rPr>
        <w:t>界定老旧小区</w:t>
      </w:r>
      <w:r>
        <w:rPr>
          <w:rFonts w:hint="eastAsia" w:ascii="仿宋" w:hAnsi="仿宋"/>
          <w:szCs w:val="32"/>
        </w:rPr>
        <w:t>范围。依法拆除小区</w:t>
      </w:r>
      <w:r>
        <w:rPr>
          <w:rFonts w:ascii="仿宋" w:hAnsi="仿宋"/>
          <w:szCs w:val="32"/>
        </w:rPr>
        <w:t>内违法建设</w:t>
      </w:r>
      <w:r>
        <w:rPr>
          <w:rFonts w:hint="eastAsia" w:ascii="仿宋" w:hAnsi="仿宋"/>
          <w:szCs w:val="32"/>
        </w:rPr>
        <w:t>，</w:t>
      </w:r>
      <w:r>
        <w:rPr>
          <w:rFonts w:ascii="仿宋" w:hAnsi="仿宋"/>
          <w:szCs w:val="32"/>
        </w:rPr>
        <w:t>整治提升</w:t>
      </w:r>
      <w:r>
        <w:rPr>
          <w:rFonts w:hint="eastAsia" w:ascii="仿宋" w:hAnsi="仿宋"/>
          <w:szCs w:val="32"/>
        </w:rPr>
        <w:t>小区</w:t>
      </w:r>
      <w:r>
        <w:rPr>
          <w:rFonts w:ascii="仿宋" w:hAnsi="仿宋"/>
          <w:szCs w:val="32"/>
        </w:rPr>
        <w:t>环境</w:t>
      </w:r>
      <w:r>
        <w:rPr>
          <w:rFonts w:hint="eastAsia" w:ascii="仿宋" w:hAnsi="仿宋"/>
          <w:szCs w:val="32"/>
        </w:rPr>
        <w:t>，开展住宅楼房</w:t>
      </w:r>
      <w:r>
        <w:rPr>
          <w:rFonts w:ascii="仿宋" w:hAnsi="仿宋"/>
          <w:szCs w:val="32"/>
        </w:rPr>
        <w:t>抗震</w:t>
      </w:r>
      <w:r>
        <w:rPr>
          <w:rFonts w:hint="eastAsia" w:ascii="仿宋" w:hAnsi="仿宋"/>
          <w:szCs w:val="32"/>
        </w:rPr>
        <w:t>加固</w:t>
      </w:r>
      <w:r>
        <w:rPr>
          <w:rFonts w:ascii="仿宋" w:hAnsi="仿宋"/>
          <w:szCs w:val="32"/>
        </w:rPr>
        <w:t>和节能综合改造</w:t>
      </w:r>
      <w:r>
        <w:rPr>
          <w:rFonts w:hint="eastAsia" w:ascii="仿宋" w:hAnsi="仿宋"/>
          <w:szCs w:val="32"/>
        </w:rPr>
        <w:t>，健全</w:t>
      </w:r>
      <w:r>
        <w:rPr>
          <w:rFonts w:ascii="仿宋" w:hAnsi="仿宋"/>
          <w:szCs w:val="32"/>
        </w:rPr>
        <w:t>物业管理长效机制，改善老旧小区居住品质。</w:t>
      </w:r>
      <w:r>
        <w:rPr>
          <w:rFonts w:hint="eastAsia" w:ascii="仿宋" w:hAnsi="仿宋"/>
          <w:szCs w:val="32"/>
        </w:rPr>
        <w:t>经</w:t>
      </w:r>
      <w:r>
        <w:rPr>
          <w:rFonts w:ascii="仿宋" w:hAnsi="仿宋"/>
          <w:szCs w:val="32"/>
        </w:rPr>
        <w:t>业主共同决定，</w:t>
      </w:r>
      <w:r>
        <w:rPr>
          <w:rFonts w:hint="eastAsia" w:ascii="仿宋" w:hAnsi="仿宋"/>
          <w:szCs w:val="32"/>
        </w:rPr>
        <w:t>业主</w:t>
      </w:r>
      <w:r>
        <w:rPr>
          <w:rFonts w:ascii="仿宋" w:hAnsi="仿宋"/>
          <w:szCs w:val="32"/>
        </w:rPr>
        <w:t>共有的</w:t>
      </w:r>
      <w:r>
        <w:rPr>
          <w:rFonts w:hint="eastAsia" w:ascii="仿宋" w:hAnsi="仿宋"/>
          <w:szCs w:val="32"/>
        </w:rPr>
        <w:t>设施</w:t>
      </w:r>
      <w:r>
        <w:rPr>
          <w:rFonts w:ascii="仿宋" w:hAnsi="仿宋"/>
          <w:szCs w:val="32"/>
        </w:rPr>
        <w:t>与</w:t>
      </w:r>
      <w:r>
        <w:rPr>
          <w:rFonts w:hint="eastAsia" w:ascii="仿宋" w:hAnsi="仿宋"/>
          <w:szCs w:val="32"/>
        </w:rPr>
        <w:t>公共</w:t>
      </w:r>
      <w:r>
        <w:rPr>
          <w:rFonts w:ascii="仿宋" w:hAnsi="仿宋"/>
          <w:szCs w:val="32"/>
        </w:rPr>
        <w:t>空间</w:t>
      </w:r>
      <w:r>
        <w:rPr>
          <w:rFonts w:hint="eastAsia" w:ascii="仿宋" w:hAnsi="仿宋"/>
          <w:szCs w:val="32"/>
        </w:rPr>
        <w:t>，</w:t>
      </w:r>
      <w:r>
        <w:rPr>
          <w:rFonts w:ascii="仿宋" w:hAnsi="仿宋"/>
          <w:szCs w:val="32"/>
        </w:rPr>
        <w:t>可</w:t>
      </w:r>
      <w:r>
        <w:rPr>
          <w:rFonts w:hint="eastAsia" w:ascii="仿宋" w:hAnsi="仿宋"/>
          <w:szCs w:val="32"/>
        </w:rPr>
        <w:t>通过</w:t>
      </w:r>
      <w:r>
        <w:rPr>
          <w:rFonts w:ascii="仿宋" w:hAnsi="仿宋"/>
          <w:szCs w:val="32"/>
        </w:rPr>
        <w:t>改扩建用于补充小区便民服务设施</w:t>
      </w:r>
      <w:r>
        <w:rPr>
          <w:rFonts w:hint="eastAsia" w:ascii="仿宋" w:hAnsi="仿宋"/>
          <w:szCs w:val="32"/>
        </w:rPr>
        <w:t>、增加停车</w:t>
      </w:r>
      <w:r>
        <w:rPr>
          <w:rFonts w:ascii="仿宋" w:hAnsi="仿宋"/>
          <w:szCs w:val="32"/>
        </w:rPr>
        <w:t>位</w:t>
      </w:r>
      <w:r>
        <w:rPr>
          <w:rFonts w:hint="eastAsia" w:ascii="仿宋" w:hAnsi="仿宋"/>
          <w:szCs w:val="32"/>
        </w:rPr>
        <w:t>。</w:t>
      </w:r>
    </w:p>
    <w:p>
      <w:pPr>
        <w:keepNext w:val="0"/>
        <w:keepLines w:val="0"/>
        <w:pageBreakBefore w:val="0"/>
        <w:kinsoku/>
        <w:wordWrap/>
        <w:overflowPunct/>
        <w:topLinePunct w:val="0"/>
        <w:bidi w:val="0"/>
        <w:snapToGrid/>
        <w:spacing w:line="560" w:lineRule="exact"/>
        <w:ind w:firstLine="640"/>
        <w:jc w:val="both"/>
        <w:textAlignment w:val="auto"/>
        <w:rPr>
          <w:rFonts w:ascii="仿宋" w:hAnsi="仿宋"/>
          <w:szCs w:val="32"/>
        </w:rPr>
      </w:pPr>
      <w:r>
        <w:rPr>
          <w:rFonts w:hint="eastAsia" w:ascii="仿宋" w:hAnsi="仿宋"/>
          <w:szCs w:val="32"/>
        </w:rPr>
        <w:t>实施老旧</w:t>
      </w:r>
      <w:r>
        <w:rPr>
          <w:rFonts w:ascii="仿宋" w:hAnsi="仿宋"/>
          <w:szCs w:val="32"/>
        </w:rPr>
        <w:t>住宅楼房加装电梯。</w:t>
      </w:r>
      <w:r>
        <w:rPr>
          <w:rFonts w:hint="eastAsia" w:ascii="仿宋" w:hAnsi="仿宋"/>
          <w:szCs w:val="32"/>
        </w:rPr>
        <w:t>加装</w:t>
      </w:r>
      <w:r>
        <w:rPr>
          <w:rFonts w:ascii="仿宋" w:hAnsi="仿宋"/>
          <w:szCs w:val="32"/>
        </w:rPr>
        <w:t>电梯应</w:t>
      </w:r>
      <w:r>
        <w:rPr>
          <w:rFonts w:hint="eastAsia" w:ascii="仿宋" w:hAnsi="仿宋"/>
          <w:szCs w:val="32"/>
        </w:rPr>
        <w:t>当依法征得本单元业主及受加装电梯</w:t>
      </w:r>
      <w:r>
        <w:rPr>
          <w:rFonts w:ascii="仿宋" w:hAnsi="仿宋"/>
          <w:szCs w:val="32"/>
        </w:rPr>
        <w:t>影响的相关</w:t>
      </w:r>
      <w:r>
        <w:rPr>
          <w:rFonts w:hint="eastAsia" w:ascii="仿宋" w:hAnsi="仿宋"/>
          <w:szCs w:val="32"/>
        </w:rPr>
        <w:t>业主</w:t>
      </w:r>
      <w:r>
        <w:rPr>
          <w:rFonts w:ascii="仿宋" w:hAnsi="仿宋"/>
          <w:szCs w:val="32"/>
        </w:rPr>
        <w:t>同意</w:t>
      </w:r>
      <w:r>
        <w:rPr>
          <w:rFonts w:hint="eastAsia" w:ascii="仿宋" w:hAnsi="仿宋"/>
          <w:szCs w:val="32"/>
        </w:rPr>
        <w:t>。受益</w:t>
      </w:r>
      <w:r>
        <w:rPr>
          <w:rFonts w:ascii="仿宋" w:hAnsi="仿宋"/>
          <w:szCs w:val="32"/>
        </w:rPr>
        <w:t>业主</w:t>
      </w:r>
      <w:r>
        <w:rPr>
          <w:rFonts w:hint="eastAsia" w:ascii="仿宋" w:hAnsi="仿宋"/>
          <w:szCs w:val="32"/>
        </w:rPr>
        <w:t>应当</w:t>
      </w:r>
      <w:r>
        <w:rPr>
          <w:rFonts w:ascii="仿宋" w:hAnsi="仿宋"/>
          <w:szCs w:val="32"/>
        </w:rPr>
        <w:t>承担加装电梯</w:t>
      </w:r>
      <w:r>
        <w:rPr>
          <w:rFonts w:hint="eastAsia" w:ascii="仿宋" w:hAnsi="仿宋"/>
          <w:szCs w:val="32"/>
        </w:rPr>
        <w:t>建设</w:t>
      </w:r>
      <w:r>
        <w:rPr>
          <w:rFonts w:ascii="仿宋" w:hAnsi="仿宋"/>
          <w:szCs w:val="32"/>
        </w:rPr>
        <w:t>和</w:t>
      </w:r>
      <w:r>
        <w:rPr>
          <w:rFonts w:hint="eastAsia" w:ascii="仿宋" w:hAnsi="仿宋"/>
          <w:szCs w:val="32"/>
        </w:rPr>
        <w:t>维保</w:t>
      </w:r>
      <w:r>
        <w:rPr>
          <w:rFonts w:ascii="仿宋" w:hAnsi="仿宋"/>
          <w:szCs w:val="32"/>
        </w:rPr>
        <w:t>、运维费用。</w:t>
      </w:r>
    </w:p>
    <w:p>
      <w:pPr>
        <w:keepNext w:val="0"/>
        <w:keepLines w:val="0"/>
        <w:pageBreakBefore w:val="0"/>
        <w:widowControl w:val="0"/>
        <w:kinsoku/>
        <w:wordWrap/>
        <w:overflowPunct/>
        <w:topLinePunct w:val="0"/>
        <w:bidi w:val="0"/>
        <w:snapToGrid/>
        <w:spacing w:line="560" w:lineRule="exact"/>
        <w:ind w:firstLine="640"/>
        <w:jc w:val="both"/>
        <w:textAlignment w:val="auto"/>
      </w:pPr>
      <w:r>
        <w:rPr>
          <w:rFonts w:hint="eastAsia"/>
        </w:rPr>
        <w:t>售后公房参与老旧小区综合整治改造工作的，售房单位应当在整治改造开展前完成专项维修资金的补建工作。</w:t>
      </w:r>
    </w:p>
    <w:bookmarkEnd w:id="422"/>
    <w:bookmarkEnd w:id="423"/>
    <w:bookmarkEnd w:id="424"/>
    <w:bookmarkEnd w:id="425"/>
    <w:p>
      <w:pPr>
        <w:keepNext w:val="0"/>
        <w:keepLines w:val="0"/>
        <w:pageBreakBefore w:val="0"/>
        <w:kinsoku/>
        <w:wordWrap/>
        <w:overflowPunct/>
        <w:topLinePunct w:val="0"/>
        <w:autoSpaceDE w:val="0"/>
        <w:autoSpaceDN w:val="0"/>
        <w:bidi w:val="0"/>
        <w:adjustRightInd w:val="0"/>
        <w:snapToGrid/>
        <w:spacing w:line="560" w:lineRule="exact"/>
        <w:ind w:firstLine="640"/>
        <w:jc w:val="both"/>
        <w:textAlignment w:val="auto"/>
        <w:rPr>
          <w:rFonts w:ascii="仿宋" w:hAnsi="仿宋" w:cs="仿宋"/>
          <w:szCs w:val="32"/>
        </w:rPr>
      </w:pPr>
      <w:bookmarkStart w:id="426" w:name="_Toc1878915404"/>
      <w:r>
        <w:rPr>
          <w:rFonts w:hint="eastAsia" w:ascii="仿宋" w:hAnsi="仿宋" w:cs="仿宋"/>
          <w:szCs w:val="32"/>
        </w:rPr>
        <w:t>第四十二条　实施老旧厂房更新改造，发展与街区功能定位相适应的产业业态，</w:t>
      </w:r>
      <w:r>
        <w:rPr>
          <w:rFonts w:hint="eastAsia"/>
          <w:szCs w:val="32"/>
        </w:rPr>
        <w:t>补充公共服务设施，补齐城市功能短板，发展高精尖产业</w:t>
      </w:r>
      <w:r>
        <w:rPr>
          <w:rFonts w:hint="eastAsia" w:ascii="仿宋" w:hAnsi="仿宋" w:cs="仿宋"/>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jc w:val="both"/>
        <w:textAlignment w:val="auto"/>
        <w:rPr>
          <w:rFonts w:ascii="仿宋" w:hAnsi="仿宋" w:cs="仿宋"/>
          <w:szCs w:val="32"/>
        </w:rPr>
      </w:pPr>
      <w:r>
        <w:rPr>
          <w:rFonts w:hint="eastAsia" w:ascii="仿宋" w:hAnsi="仿宋" w:cs="仿宋"/>
          <w:szCs w:val="32"/>
        </w:rPr>
        <w:t>对于已开工或完工的，因手续缺失尚未办理消防验收等手续的老旧厂房改造项目，可参照新建项目补办相关手续。</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在符合设计要求、保障建筑安全的基础上，可以合理利用厂房空间进行加层改造。</w:t>
      </w:r>
    </w:p>
    <w:p>
      <w:pPr>
        <w:keepNext w:val="0"/>
        <w:keepLines w:val="0"/>
        <w:pageBreakBefore w:val="0"/>
        <w:kinsoku/>
        <w:wordWrap/>
        <w:overflowPunct/>
        <w:topLinePunct w:val="0"/>
        <w:autoSpaceDE w:val="0"/>
        <w:autoSpaceDN w:val="0"/>
        <w:bidi w:val="0"/>
        <w:adjustRightInd w:val="0"/>
        <w:snapToGrid/>
        <w:spacing w:line="560" w:lineRule="exact"/>
        <w:ind w:firstLine="640"/>
        <w:jc w:val="both"/>
        <w:textAlignment w:val="auto"/>
        <w:rPr>
          <w:rFonts w:ascii="仿宋" w:hAnsi="仿宋" w:cs="仿宋"/>
          <w:szCs w:val="32"/>
        </w:rPr>
      </w:pPr>
      <w:r>
        <w:rPr>
          <w:rFonts w:hint="eastAsia" w:ascii="仿宋" w:hAnsi="仿宋" w:cs="仿宋"/>
          <w:szCs w:val="32"/>
        </w:rPr>
        <w:t>第四十三条　实施低效产业园区更新，推动传统产业转型升级，发展新产业、新业态，聚集创新资源、培育新兴产业，完善产业园区配套设施。</w:t>
      </w:r>
    </w:p>
    <w:p>
      <w:pPr>
        <w:keepNext w:val="0"/>
        <w:keepLines w:val="0"/>
        <w:pageBreakBefore w:val="0"/>
        <w:kinsoku/>
        <w:wordWrap/>
        <w:overflowPunct/>
        <w:topLinePunct w:val="0"/>
        <w:autoSpaceDE w:val="0"/>
        <w:autoSpaceDN w:val="0"/>
        <w:bidi w:val="0"/>
        <w:adjustRightInd w:val="0"/>
        <w:snapToGrid/>
        <w:spacing w:line="560" w:lineRule="exact"/>
        <w:ind w:firstLine="640"/>
        <w:jc w:val="both"/>
        <w:textAlignment w:val="auto"/>
        <w:rPr>
          <w:rFonts w:ascii="仿宋" w:hAnsi="仿宋" w:cs="仿宋"/>
          <w:color w:val="FF0000"/>
          <w:szCs w:val="32"/>
        </w:rPr>
      </w:pPr>
      <w:r>
        <w:rPr>
          <w:rFonts w:hint="eastAsia" w:ascii="仿宋" w:hAnsi="仿宋" w:cs="仿宋"/>
          <w:szCs w:val="32"/>
        </w:rPr>
        <w:t>区人民政府应当建立产业园区分级分类认定标准，将产业类型、投资强度、产出效率、创新能力、节能环保等要求，作为产业园区土地供应的前置条件。区人民政府组织与产权主体及实施主体签订履约监管协议，约定违约时的土地收回方式，作为建设用地有偿使用合同的附件。对于未达到履约监管协议约定条件的，区人民政府应当按照约定收回建设用地使用权。　</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第四十四条　实施老旧低效楼宇更新。优化业态结构、完善建筑安全和使用功能、提升空间品质、提高服务水平，拓展新场景、挖掘新消费潜力、提升城市活力，提高智能化水平、满足现代商务办公需求，促进国际消费中心城市和智慧城市建设。</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对存在安全隐患或严重抗震安全隐患、以及节能水平严重不符合本市标准的，物业权利人应当及时进行更新。相关物业权利人没有能力更新的，可以向区人民政府申请收购建筑物所有权、退回土地使用权，由区人民政府组织更新。</w:t>
      </w:r>
    </w:p>
    <w:p>
      <w:pPr>
        <w:keepNext w:val="0"/>
        <w:keepLines w:val="0"/>
        <w:pageBreakBefore w:val="0"/>
        <w:widowControl w:val="0"/>
        <w:kinsoku/>
        <w:wordWrap/>
        <w:overflowPunct/>
        <w:topLinePunct w:val="0"/>
        <w:bidi w:val="0"/>
        <w:snapToGrid/>
        <w:spacing w:line="560" w:lineRule="exact"/>
        <w:ind w:firstLine="640"/>
        <w:jc w:val="both"/>
        <w:textAlignment w:val="auto"/>
      </w:pPr>
      <w:r>
        <w:rPr>
          <w:rFonts w:hint="eastAsia"/>
        </w:rPr>
        <w:t>在同一建筑中允许不同功能用途相互混合，在符合相关安全等规定的条件下，可在商业、商务办公建筑内安排文化、体育、教育、医疗、社会福利、宿舍居住等功能。</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第四十五条　实施老旧、闲置公共服务设施的更新改造。鼓励利用存量资源改造为公共服务设施和便民服务设施，按照民生需求优化功能、丰富供给，提升公共服务设施的服务能力与品质。</w:t>
      </w:r>
    </w:p>
    <w:p>
      <w:pPr>
        <w:keepNext w:val="0"/>
        <w:keepLines w:val="0"/>
        <w:pageBreakBefore w:val="0"/>
        <w:kinsoku/>
        <w:wordWrap/>
        <w:overflowPunct/>
        <w:topLinePunct w:val="0"/>
        <w:bidi w:val="0"/>
        <w:snapToGrid/>
        <w:spacing w:line="560" w:lineRule="exact"/>
        <w:ind w:firstLine="640"/>
        <w:jc w:val="both"/>
        <w:textAlignment w:val="auto"/>
      </w:pPr>
      <w:bookmarkStart w:id="427" w:name="_Toc100354895"/>
      <w:bookmarkEnd w:id="427"/>
      <w:bookmarkStart w:id="428" w:name="_Toc100322827"/>
      <w:bookmarkEnd w:id="428"/>
      <w:bookmarkStart w:id="429" w:name="_Toc100259746"/>
      <w:bookmarkEnd w:id="429"/>
      <w:bookmarkStart w:id="430" w:name="_Toc100304964"/>
      <w:bookmarkEnd w:id="430"/>
      <w:bookmarkStart w:id="431" w:name="_Toc100305893"/>
      <w:bookmarkEnd w:id="431"/>
      <w:r>
        <w:rPr>
          <w:rFonts w:hint="eastAsia"/>
        </w:rPr>
        <w:t>实施老旧交通设施的更新改造。结合城市更新活动完善道路网络，补足交通设施短板，强化轨道交通一体化建设、鼓励场站复合利用，促进绿色交通设施改造，提升智慧交通建设水平。</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实施老旧市政基础设施的更新改造。推进综合管廊建设，完善市政供给体系，提升可持续支撑能力。加强市政系统承载能力、安全水平，加快信息化建设，推进基础设施高质量发展、功能融合以及绿色低碳能源转型。</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建立市政专业整合工作推进机制，统筹道路施工和地下管线建设，形成配套道路、随路管线、厂站源头等设施内外衔接、梯级配置、联合保障。新建道路的地下管线工程原则上应随同新建道路工程同步办理立项、规划和施工许可。</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实施老旧公共安全设施更新改造，加强首都安全保障，多措并举提高城市韧性，切实提高城市应对多风险叠加能力，确保首都持续安全稳定。</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集体经营性建设用地上的城市更新项目，用地范围内为本项目服务的配套公共服务设施、道路和市政设施，可采取占地方式建设，由相关单位接收并实施监督管理，确保按规划用途使用。</w:t>
      </w:r>
    </w:p>
    <w:bookmarkEnd w:id="403"/>
    <w:bookmarkEnd w:id="404"/>
    <w:bookmarkEnd w:id="405"/>
    <w:bookmarkEnd w:id="406"/>
    <w:bookmarkEnd w:id="407"/>
    <w:bookmarkEnd w:id="408"/>
    <w:bookmarkEnd w:id="409"/>
    <w:bookmarkEnd w:id="426"/>
    <w:p>
      <w:pPr>
        <w:keepNext w:val="0"/>
        <w:keepLines w:val="0"/>
        <w:pageBreakBefore w:val="0"/>
        <w:kinsoku/>
        <w:wordWrap/>
        <w:overflowPunct/>
        <w:topLinePunct w:val="0"/>
        <w:bidi w:val="0"/>
        <w:snapToGrid/>
        <w:spacing w:line="560" w:lineRule="exact"/>
        <w:ind w:firstLine="640"/>
        <w:jc w:val="both"/>
        <w:textAlignment w:val="auto"/>
        <w:rPr>
          <w:szCs w:val="32"/>
        </w:rPr>
      </w:pPr>
      <w:bookmarkStart w:id="432" w:name="_Toc101008178"/>
      <w:bookmarkEnd w:id="432"/>
      <w:bookmarkStart w:id="433" w:name="_Toc101007840"/>
      <w:bookmarkEnd w:id="433"/>
      <w:bookmarkStart w:id="434" w:name="_Toc663141322"/>
      <w:bookmarkStart w:id="435" w:name="_Toc176396253"/>
      <w:bookmarkStart w:id="436" w:name="_Toc882682000"/>
      <w:bookmarkStart w:id="437" w:name="_Toc1527547375"/>
      <w:bookmarkStart w:id="438" w:name="_Toc734242016"/>
      <w:bookmarkStart w:id="439" w:name="_Toc81486334"/>
      <w:bookmarkStart w:id="440" w:name="_Toc81486458"/>
      <w:bookmarkStart w:id="441" w:name="_Toc81484763"/>
      <w:bookmarkStart w:id="442" w:name="_Toc11070"/>
      <w:bookmarkStart w:id="443" w:name="_Toc97901697"/>
      <w:bookmarkStart w:id="444" w:name="_Toc151384894"/>
      <w:r>
        <w:rPr>
          <w:rFonts w:hint="eastAsia"/>
          <w:szCs w:val="32"/>
        </w:rPr>
        <w:t>第四十六条　实施老旧公共空间的更新改造，以绿色空间、滨水空间、慢行系统、边角地、插花地、夹心地等为对象，提升精细化治理水平，改善环境品质与风貌特色。</w:t>
      </w:r>
    </w:p>
    <w:bookmarkEnd w:id="434"/>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实施居住类、产业类城市更新项目时，可将边角地、插花地同步纳入相关更新规划，并同步组织实施。鼓励社会投资主体一体实施相邻公共空间更新。</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公共空间类更新项目由项目所在地街道办事处、乡镇人民政府或其授权的单位担任实施主体。相关专业部门、公共服务企业予以专项支持，企业可通过提供专业化物业服务、作为实施主体等方式参与公共空间改造，实现公共空间长期运营。</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第四十七条　推动街区更新，整合街区各类空间资源，补短板、强弱项，统筹推进居住类、产业类、设施类、公共空间类更新改造，促进生活空间改善提升、生产空间提质增效，加强街区城市修补和生态修复。</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推动轨道交通场站及周边存量建筑一体化更新。推进场站用地综合利用，实现轨道交通与城市更新有机融合，带动周边存量资源提质增效，促进场站与周边商业、办公、居住等功能融合，补充公共服务设施。</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推动重大项目及周边地区更新。本市重大项目建设时，应当梳理周边地区功能及配套设施短板，提出更新改造范围和内容，推动周边地区老旧楼宇与传统商圈、老旧厂房与低效产业园区提质增效，促进公共空间与公共设施品质提升。</w:t>
      </w:r>
      <w:bookmarkStart w:id="445" w:name="_Toc101530570"/>
      <w:bookmarkEnd w:id="445"/>
      <w:bookmarkStart w:id="446" w:name="_Toc101521649"/>
      <w:bookmarkEnd w:id="446"/>
      <w:bookmarkStart w:id="447" w:name="_Toc81486479"/>
      <w:bookmarkStart w:id="448" w:name="_Toc81486355"/>
      <w:bookmarkStart w:id="449" w:name="_Toc81484805"/>
      <w:bookmarkStart w:id="450" w:name="_Toc81486338"/>
      <w:bookmarkStart w:id="451" w:name="_Toc81486462"/>
      <w:bookmarkStart w:id="452" w:name="_Toc81484765"/>
      <w:bookmarkStart w:id="453" w:name="_Toc26165"/>
      <w:bookmarkStart w:id="454" w:name="_Toc81486336"/>
      <w:bookmarkStart w:id="455" w:name="_Toc1062378879"/>
      <w:bookmarkStart w:id="456" w:name="_Toc81484767"/>
      <w:bookmarkStart w:id="457" w:name="_Toc235611329"/>
      <w:bookmarkStart w:id="458" w:name="_Toc97901699"/>
      <w:bookmarkStart w:id="459" w:name="_Toc81486460"/>
    </w:p>
    <w:bookmarkEnd w:id="447"/>
    <w:bookmarkEnd w:id="448"/>
    <w:bookmarkEnd w:id="449"/>
    <w:bookmarkEnd w:id="450"/>
    <w:bookmarkEnd w:id="451"/>
    <w:bookmarkEnd w:id="452"/>
    <w:bookmarkEnd w:id="453"/>
    <w:bookmarkEnd w:id="454"/>
    <w:bookmarkEnd w:id="455"/>
    <w:bookmarkEnd w:id="456"/>
    <w:bookmarkEnd w:id="457"/>
    <w:bookmarkEnd w:id="458"/>
    <w:bookmarkEnd w:id="459"/>
    <w:p>
      <w:pPr>
        <w:pStyle w:val="3"/>
        <w:keepNext w:val="0"/>
        <w:keepLines w:val="0"/>
        <w:pageBreakBefore w:val="0"/>
        <w:kinsoku/>
        <w:wordWrap/>
        <w:overflowPunct/>
        <w:topLinePunct w:val="0"/>
        <w:bidi w:val="0"/>
        <w:snapToGrid/>
        <w:spacing w:line="560" w:lineRule="exact"/>
        <w:jc w:val="center"/>
        <w:textAlignment w:val="auto"/>
        <w:rPr>
          <w:rFonts w:ascii="仿宋" w:hAnsi="仿宋" w:eastAsia="仿宋" w:cs="Arial"/>
          <w:bCs/>
          <w:iCs/>
          <w:kern w:val="0"/>
        </w:rPr>
      </w:pPr>
      <w:bookmarkStart w:id="460" w:name="_Toc1589203223"/>
      <w:r>
        <w:rPr>
          <w:rFonts w:hint="eastAsia" w:ascii="仿宋" w:hAnsi="仿宋" w:eastAsia="仿宋" w:cs="Arial"/>
          <w:bCs/>
          <w:iCs/>
          <w:kern w:val="0"/>
        </w:rPr>
        <w:t>第二节  项目实施与管理</w:t>
      </w:r>
      <w:bookmarkEnd w:id="460"/>
    </w:p>
    <w:bookmarkEnd w:id="435"/>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第四十八条　建立市、区城市更新项目库，实行城市更新项目常态申报和动态调整机制，具备实施条件的项目纳入城市更新计划。</w:t>
      </w:r>
    </w:p>
    <w:bookmarkEnd w:id="436"/>
    <w:p>
      <w:pPr>
        <w:keepNext w:val="0"/>
        <w:keepLines w:val="0"/>
        <w:pageBreakBefore w:val="0"/>
        <w:kinsoku/>
        <w:wordWrap/>
        <w:overflowPunct/>
        <w:topLinePunct w:val="0"/>
        <w:bidi w:val="0"/>
        <w:snapToGrid/>
        <w:spacing w:line="560" w:lineRule="exact"/>
        <w:ind w:firstLine="640"/>
        <w:jc w:val="both"/>
        <w:textAlignment w:val="auto"/>
      </w:pPr>
      <w:r>
        <w:rPr>
          <w:rFonts w:hint="eastAsia"/>
        </w:rPr>
        <w:t>第四十九条　实施主体编制城市更新项目实施方案时，应当进行现状评估、房屋建筑性能评估、消防安全评估、更新需求征询、资源整合等工作，并报区城市更新主管部门。</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项目实施方案应结合实际情况，明确更新范围、内容、方式及建筑规模、使用功能、设计方案、建设计划、土地取得方式、市政基础设施和公共服务设施建设、成本测算、资金筹措方式、运营管理模式、产权办理等内容。</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更新项目使用土地过渡期政策的，应当在实施方案中明确过渡期满或转让时的建设用地使用权配置方式、土地使用年期、土地价款评估标准等内容。</w:t>
      </w:r>
    </w:p>
    <w:p>
      <w:pPr>
        <w:keepNext w:val="0"/>
        <w:keepLines w:val="0"/>
        <w:pageBreakBefore w:val="0"/>
        <w:kinsoku/>
        <w:wordWrap/>
        <w:overflowPunct/>
        <w:topLinePunct w:val="0"/>
        <w:bidi w:val="0"/>
        <w:snapToGrid/>
        <w:spacing w:line="560" w:lineRule="exact"/>
        <w:ind w:firstLine="640"/>
        <w:jc w:val="both"/>
        <w:textAlignment w:val="auto"/>
        <w:rPr>
          <w:szCs w:val="32"/>
        </w:rPr>
      </w:pPr>
      <w:bookmarkStart w:id="461" w:name="_Toc835626129"/>
      <w:bookmarkStart w:id="462" w:name="_Toc97901691"/>
      <w:bookmarkStart w:id="463" w:name="_Toc28917"/>
      <w:bookmarkStart w:id="464" w:name="_Toc1684162058"/>
      <w:r>
        <w:rPr>
          <w:rFonts w:hint="eastAsia"/>
          <w:szCs w:val="32"/>
        </w:rPr>
        <w:t>更新项目涉及多个物业权利人的，实施主体应当按照本条例规定与相关物业权利人充分协商，项目实施方案应当按照《民法典》规定经表决通过。</w:t>
      </w:r>
    </w:p>
    <w:bookmarkEnd w:id="461"/>
    <w:bookmarkEnd w:id="462"/>
    <w:bookmarkEnd w:id="463"/>
    <w:bookmarkEnd w:id="464"/>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rPr>
        <w:t>第五十条　项目实施方案由区人民政府组织区相关行业主管部门进行联合审查。审查通过的，由区城市更新主管部门会同相关行业主管部门出具相关意见，并在城市更新信息系统上公示，公示时间不得少于十个工作日。</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对项目实施方案应重点审核以下内容：</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（一）物业权利人对项目实施方案的表决情况；</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（二）项目实施方案的建筑规模、主体结构、使用用途调整等情况是否符合相关规划；</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（三）现状评估、房屋建筑性能评估等工作情况；</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（四）项目资金和用地保障情况；</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（五）专业技术评价、更新改造空间利用及运营情况；</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（六）是否符合城市更新规划和导则相关要求；</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（七）是否符合本条例第十六条相关要求。</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第五十一条　政府投资为主的城市更新项目，可由区人民政府或实施主体将相同、相近类型项目或同一实施单元内的项目合并招标，统一设计。</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根据项目实际情况，区人民政府或实施主体可在项目纳入城市更新计划后或在项目主体、招标内容和资金来源等基本明确的前提下，在编制实施方案阶段先期开展勘察设计招标等工作。鼓励中小企业和事务所积极承接更新项目。</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第五十二条　项目实施主体依据审查通过的项目实施方案申请办理投资、土地、规划、建设等行政许可或备案，各主管部门应当实行联合审批。</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rPr>
        <w:t>经审查通过的项目实施方案中载明的实施主体可认定为项目建设单位。</w:t>
      </w:r>
    </w:p>
    <w:p>
      <w:pPr>
        <w:keepNext w:val="0"/>
        <w:keepLines w:val="0"/>
        <w:pageBreakBefore w:val="0"/>
        <w:widowControl w:val="0"/>
        <w:kinsoku/>
        <w:wordWrap/>
        <w:overflowPunct/>
        <w:topLinePunct w:val="0"/>
        <w:bidi w:val="0"/>
        <w:snapToGrid/>
        <w:spacing w:line="560" w:lineRule="exact"/>
        <w:ind w:firstLine="640"/>
        <w:jc w:val="both"/>
        <w:textAlignment w:val="auto"/>
      </w:pPr>
      <w:r>
        <w:rPr>
          <w:rFonts w:hint="eastAsia"/>
        </w:rPr>
        <w:t>第五十三条　在保障公共安全的前提下，城市更新中既有建筑改造的绿地率可按区域统筹核算，人防、建筑退线、日照间距、日照时间、机动车停车数量等无法达到现行标准和规范的，可按照改造后不低于现状的标准进行审批。</w:t>
      </w:r>
    </w:p>
    <w:p>
      <w:pPr>
        <w:keepNext w:val="0"/>
        <w:keepLines w:val="0"/>
        <w:pageBreakBefore w:val="0"/>
        <w:widowControl w:val="0"/>
        <w:kinsoku/>
        <w:wordWrap/>
        <w:overflowPunct/>
        <w:topLinePunct w:val="0"/>
        <w:bidi w:val="0"/>
        <w:snapToGrid/>
        <w:spacing w:line="560" w:lineRule="exact"/>
        <w:ind w:firstLine="640"/>
        <w:jc w:val="both"/>
        <w:textAlignment w:val="auto"/>
        <w:rPr>
          <w:rFonts w:ascii="仿宋" w:hAnsi="仿宋" w:cs="仿宋_GB2312"/>
          <w:szCs w:val="32"/>
        </w:rPr>
      </w:pPr>
      <w:r>
        <w:rPr>
          <w:rFonts w:hint="eastAsia"/>
        </w:rPr>
        <w:t>相关行业主管部门可按照环境改善和整体功能提升的原则，制定适合城市更新既有建筑改造的标准和规范</w:t>
      </w:r>
      <w:r>
        <w:rPr>
          <w:rFonts w:hint="eastAsia" w:ascii="仿宋" w:hAnsi="仿宋" w:cs="仿宋_GB2312"/>
          <w:szCs w:val="32"/>
        </w:rPr>
        <w:t>。</w:t>
      </w:r>
    </w:p>
    <w:bookmarkEnd w:id="437"/>
    <w:p>
      <w:pPr>
        <w:keepNext w:val="0"/>
        <w:keepLines w:val="0"/>
        <w:pageBreakBefore w:val="0"/>
        <w:kinsoku/>
        <w:wordWrap/>
        <w:overflowPunct/>
        <w:topLinePunct w:val="0"/>
        <w:bidi w:val="0"/>
        <w:snapToGrid/>
        <w:spacing w:line="560" w:lineRule="exact"/>
        <w:ind w:firstLine="640"/>
        <w:jc w:val="both"/>
        <w:textAlignment w:val="auto"/>
      </w:pPr>
      <w:bookmarkStart w:id="465" w:name="_Toc100917473"/>
      <w:bookmarkEnd w:id="465"/>
      <w:bookmarkStart w:id="466" w:name="_Toc101007876"/>
      <w:bookmarkEnd w:id="466"/>
      <w:bookmarkStart w:id="467" w:name="_Toc101007875"/>
      <w:bookmarkEnd w:id="467"/>
      <w:bookmarkStart w:id="468" w:name="_Toc100354930"/>
      <w:bookmarkEnd w:id="468"/>
      <w:bookmarkStart w:id="469" w:name="_Toc100917474"/>
      <w:bookmarkEnd w:id="469"/>
      <w:bookmarkStart w:id="470" w:name="_Toc101008214"/>
      <w:bookmarkEnd w:id="470"/>
      <w:bookmarkStart w:id="471" w:name="_Toc101008213"/>
      <w:bookmarkEnd w:id="471"/>
      <w:bookmarkStart w:id="472" w:name="_Toc97901693"/>
      <w:r>
        <w:rPr>
          <w:rFonts w:hint="eastAsia"/>
        </w:rPr>
        <w:t>第五十四条　城市更新既有建筑改造应当确保消防安全。按照尊重历史、因地制宜的原则，改造项目受条件制约执行现行消防技术标准确有困难的，可按照不低于建成时的消防技术标准或采用消防性能化方法进行设计。</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相关行政主管部门可根据城市更新要求，制定相适应的既有建筑改造消防技术标准或方案审查流程。</w:t>
      </w:r>
    </w:p>
    <w:p>
      <w:pPr>
        <w:keepNext w:val="0"/>
        <w:keepLines w:val="0"/>
        <w:pageBreakBefore w:val="0"/>
        <w:kinsoku/>
        <w:wordWrap/>
        <w:overflowPunct/>
        <w:topLinePunct w:val="0"/>
        <w:bidi w:val="0"/>
        <w:snapToGrid/>
        <w:spacing w:line="560" w:lineRule="exact"/>
        <w:ind w:firstLine="640"/>
        <w:jc w:val="both"/>
        <w:textAlignment w:val="auto"/>
        <w:rPr>
          <w:szCs w:val="32"/>
        </w:rPr>
      </w:pPr>
      <w:bookmarkStart w:id="473" w:name="_Toc100917479"/>
      <w:bookmarkEnd w:id="473"/>
      <w:bookmarkStart w:id="474" w:name="_Toc101007881"/>
      <w:bookmarkEnd w:id="474"/>
      <w:bookmarkStart w:id="475" w:name="_Toc100765523"/>
      <w:bookmarkEnd w:id="475"/>
      <w:bookmarkStart w:id="476" w:name="_Toc101008219"/>
      <w:bookmarkEnd w:id="476"/>
      <w:bookmarkStart w:id="477" w:name="_Toc100765522"/>
      <w:bookmarkEnd w:id="477"/>
      <w:r>
        <w:rPr>
          <w:rFonts w:hint="eastAsia"/>
          <w:szCs w:val="32"/>
        </w:rPr>
        <w:t>第五十五条　利用更新改造空间按项目实施方案从事经营活动的，相关部门可予办理经营许可。</w:t>
      </w:r>
    </w:p>
    <w:p>
      <w:pPr>
        <w:pStyle w:val="2"/>
        <w:keepNext w:val="0"/>
        <w:keepLines w:val="0"/>
        <w:pageBreakBefore w:val="0"/>
        <w:kinsoku/>
        <w:wordWrap/>
        <w:overflowPunct/>
        <w:topLinePunct w:val="0"/>
        <w:bidi w:val="0"/>
        <w:snapToGrid/>
        <w:spacing w:line="560" w:lineRule="exact"/>
        <w:ind w:firstLine="640"/>
        <w:jc w:val="both"/>
        <w:textAlignment w:val="auto"/>
      </w:pPr>
      <w:r>
        <w:rPr>
          <w:rFonts w:hint="eastAsia"/>
        </w:rPr>
        <w:t>对于原有建筑物进行多种功能使用，不变更不动产登记的，不影响实施主体办理市场主体登记等经营许可手续。</w:t>
      </w:r>
      <w:bookmarkEnd w:id="472"/>
      <w:bookmarkStart w:id="478" w:name="_____200"/>
      <w:bookmarkEnd w:id="478"/>
      <w:bookmarkStart w:id="479" w:name="_Toc81484292"/>
      <w:bookmarkEnd w:id="479"/>
      <w:bookmarkStart w:id="480" w:name="_Toc81484578"/>
      <w:bookmarkEnd w:id="480"/>
      <w:bookmarkStart w:id="481" w:name="_Toc81484575"/>
      <w:bookmarkEnd w:id="481"/>
      <w:bookmarkStart w:id="482" w:name="_Toc81484775"/>
      <w:bookmarkEnd w:id="482"/>
      <w:bookmarkStart w:id="483" w:name="_____178"/>
      <w:bookmarkEnd w:id="483"/>
      <w:bookmarkStart w:id="484" w:name="_____206"/>
      <w:bookmarkEnd w:id="484"/>
      <w:bookmarkStart w:id="485" w:name="_____208"/>
      <w:bookmarkEnd w:id="485"/>
      <w:bookmarkStart w:id="486" w:name="_Toc81484273"/>
      <w:bookmarkEnd w:id="486"/>
      <w:bookmarkStart w:id="487" w:name="_Toc81484274"/>
      <w:bookmarkEnd w:id="487"/>
      <w:bookmarkStart w:id="488" w:name="_Toc81485512"/>
      <w:bookmarkEnd w:id="488"/>
      <w:bookmarkStart w:id="489" w:name="_____234"/>
      <w:bookmarkEnd w:id="489"/>
      <w:bookmarkStart w:id="490" w:name="_Toc91682106"/>
      <w:bookmarkEnd w:id="490"/>
      <w:bookmarkStart w:id="491" w:name="_____144"/>
      <w:bookmarkEnd w:id="491"/>
      <w:bookmarkStart w:id="492" w:name="_Toc81484772"/>
      <w:bookmarkEnd w:id="492"/>
      <w:bookmarkStart w:id="493" w:name="_Toc81484774"/>
      <w:bookmarkEnd w:id="493"/>
      <w:bookmarkStart w:id="494" w:name="_Toc81484579"/>
      <w:bookmarkEnd w:id="494"/>
      <w:bookmarkStart w:id="495" w:name="_Toc81485497"/>
      <w:bookmarkEnd w:id="495"/>
      <w:bookmarkStart w:id="496" w:name="_____142"/>
      <w:bookmarkEnd w:id="496"/>
      <w:bookmarkStart w:id="497" w:name="_Toc81484773"/>
      <w:bookmarkEnd w:id="497"/>
      <w:bookmarkStart w:id="498" w:name="_Toc81484787"/>
      <w:bookmarkEnd w:id="498"/>
      <w:bookmarkStart w:id="499" w:name="_Toc81484591"/>
      <w:bookmarkEnd w:id="499"/>
      <w:bookmarkStart w:id="500" w:name="_Toc89969818"/>
      <w:bookmarkEnd w:id="500"/>
      <w:bookmarkStart w:id="501" w:name="_____148"/>
      <w:bookmarkEnd w:id="501"/>
      <w:bookmarkStart w:id="502" w:name="_____188"/>
      <w:bookmarkEnd w:id="502"/>
      <w:bookmarkStart w:id="503" w:name="_____146"/>
      <w:bookmarkEnd w:id="503"/>
      <w:bookmarkStart w:id="504" w:name="_Toc81484593"/>
      <w:bookmarkEnd w:id="504"/>
      <w:bookmarkStart w:id="505" w:name="_____150"/>
      <w:bookmarkEnd w:id="505"/>
      <w:bookmarkStart w:id="506" w:name="_Toc89968549"/>
      <w:bookmarkEnd w:id="506"/>
      <w:bookmarkStart w:id="507" w:name="_Toc81484286"/>
      <w:bookmarkEnd w:id="507"/>
      <w:bookmarkStart w:id="508" w:name="_Toc81484272"/>
      <w:bookmarkEnd w:id="508"/>
      <w:bookmarkStart w:id="509" w:name="_____140"/>
      <w:bookmarkEnd w:id="509"/>
      <w:bookmarkStart w:id="510" w:name="_Toc81485510"/>
      <w:bookmarkEnd w:id="510"/>
      <w:bookmarkStart w:id="511" w:name="_Toc89969941"/>
      <w:bookmarkEnd w:id="511"/>
      <w:bookmarkStart w:id="512" w:name="_Toc81484793"/>
      <w:bookmarkEnd w:id="512"/>
      <w:bookmarkStart w:id="513" w:name="_____134"/>
      <w:bookmarkEnd w:id="513"/>
      <w:bookmarkStart w:id="514" w:name="_Toc81485516"/>
      <w:bookmarkEnd w:id="514"/>
      <w:bookmarkStart w:id="515" w:name="_____136"/>
      <w:bookmarkEnd w:id="515"/>
      <w:bookmarkStart w:id="516" w:name="_Toc81484789"/>
      <w:bookmarkEnd w:id="516"/>
      <w:bookmarkStart w:id="517" w:name="_Toc81484287"/>
      <w:bookmarkEnd w:id="517"/>
      <w:bookmarkStart w:id="518" w:name="_Toc81484592"/>
      <w:bookmarkEnd w:id="518"/>
      <w:bookmarkStart w:id="519" w:name="_Toc81485498"/>
      <w:bookmarkEnd w:id="519"/>
      <w:bookmarkStart w:id="520" w:name="_Toc81485496"/>
      <w:bookmarkEnd w:id="520"/>
      <w:bookmarkStart w:id="521" w:name="_Toc81484577"/>
      <w:bookmarkEnd w:id="521"/>
      <w:bookmarkStart w:id="522" w:name="_Toc81484270"/>
      <w:bookmarkEnd w:id="522"/>
      <w:bookmarkStart w:id="523" w:name="_Toc81484288"/>
      <w:bookmarkEnd w:id="523"/>
      <w:bookmarkStart w:id="524" w:name="_Toc81484597"/>
      <w:bookmarkEnd w:id="524"/>
      <w:bookmarkStart w:id="525" w:name="_Toc81484788"/>
      <w:bookmarkEnd w:id="525"/>
      <w:bookmarkStart w:id="526" w:name="_____210"/>
      <w:bookmarkEnd w:id="526"/>
      <w:bookmarkStart w:id="527" w:name="_Toc81485494"/>
      <w:bookmarkEnd w:id="527"/>
      <w:bookmarkStart w:id="528" w:name="_____198"/>
      <w:bookmarkEnd w:id="528"/>
      <w:bookmarkStart w:id="529" w:name="_Toc81485495"/>
      <w:bookmarkEnd w:id="529"/>
      <w:bookmarkStart w:id="530" w:name="_Toc81485511"/>
      <w:bookmarkEnd w:id="530"/>
      <w:bookmarkStart w:id="531" w:name="_Toc89968997"/>
      <w:bookmarkEnd w:id="531"/>
      <w:bookmarkStart w:id="532" w:name="_____202"/>
      <w:bookmarkEnd w:id="532"/>
      <w:bookmarkStart w:id="533" w:name="_Toc81484771"/>
      <w:bookmarkEnd w:id="533"/>
      <w:bookmarkStart w:id="534" w:name="_Toc81484271"/>
      <w:bookmarkEnd w:id="534"/>
      <w:bookmarkStart w:id="535" w:name="_Toc81484576"/>
      <w:bookmarkEnd w:id="535"/>
      <w:bookmarkStart w:id="536" w:name="_____212"/>
      <w:bookmarkEnd w:id="536"/>
      <w:bookmarkStart w:id="537" w:name="_____138"/>
      <w:bookmarkEnd w:id="537"/>
      <w:bookmarkStart w:id="538" w:name="_____152"/>
      <w:bookmarkEnd w:id="538"/>
    </w:p>
    <w:bookmarkEnd w:id="438"/>
    <w:bookmarkEnd w:id="439"/>
    <w:bookmarkEnd w:id="440"/>
    <w:bookmarkEnd w:id="441"/>
    <w:bookmarkEnd w:id="442"/>
    <w:bookmarkEnd w:id="443"/>
    <w:bookmarkEnd w:id="444"/>
    <w:p>
      <w:pPr>
        <w:keepNext w:val="0"/>
        <w:keepLines w:val="0"/>
        <w:pageBreakBefore w:val="0"/>
        <w:kinsoku/>
        <w:wordWrap/>
        <w:overflowPunct/>
        <w:topLinePunct w:val="0"/>
        <w:bidi w:val="0"/>
        <w:snapToGrid/>
        <w:spacing w:line="560" w:lineRule="exact"/>
        <w:ind w:firstLine="640"/>
        <w:jc w:val="both"/>
        <w:textAlignment w:val="auto"/>
      </w:pPr>
      <w:bookmarkStart w:id="539" w:name="_Toc101007795"/>
      <w:bookmarkEnd w:id="539"/>
      <w:bookmarkStart w:id="540" w:name="_Toc101008133"/>
      <w:bookmarkEnd w:id="540"/>
      <w:bookmarkStart w:id="541" w:name="_Toc1034663144"/>
      <w:bookmarkStart w:id="542" w:name="_Toc3053"/>
      <w:bookmarkStart w:id="543" w:name="_Toc97901705"/>
      <w:bookmarkStart w:id="544" w:name="_Toc1251164570"/>
      <w:r>
        <w:rPr>
          <w:rFonts w:hint="eastAsia"/>
        </w:rPr>
        <w:t>第五十六条　市、区人民政府应当对涉及公共利益、产业提升的城市更新项目予以资金支持，引导社会资本参与。鼓励通过依法发行地方政府债券、企业债券等方式，筹集改造资金。</w:t>
      </w:r>
      <w:bookmarkStart w:id="545" w:name="_____184"/>
      <w:bookmarkEnd w:id="545"/>
      <w:bookmarkStart w:id="546" w:name="_____182"/>
      <w:bookmarkEnd w:id="546"/>
      <w:bookmarkStart w:id="547" w:name="_____186"/>
      <w:bookmarkEnd w:id="547"/>
    </w:p>
    <w:p>
      <w:pPr>
        <w:keepNext w:val="0"/>
        <w:keepLines w:val="0"/>
        <w:pageBreakBefore w:val="0"/>
        <w:kinsoku/>
        <w:wordWrap/>
        <w:overflowPunct/>
        <w:topLinePunct w:val="0"/>
        <w:bidi w:val="0"/>
        <w:snapToGrid/>
        <w:spacing w:line="560" w:lineRule="exact"/>
        <w:ind w:firstLine="640"/>
        <w:jc w:val="both"/>
        <w:textAlignment w:val="auto"/>
      </w:pPr>
      <w:r>
        <w:rPr>
          <w:rFonts w:hint="eastAsia"/>
        </w:rPr>
        <w:t>纳入城市更新计划的项目，依法享受行政事业性收费减免，涉及纳税人依法享受税收优惠政策。</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鼓励金融机构依法开展多样化金融产品和服务创新，满足城市更新融资需求，依据审查通过的项目实施方案提供项目融资。鼓励住房公积金支持</w:t>
      </w:r>
      <w:bookmarkStart w:id="548" w:name="_____196"/>
      <w:bookmarkEnd w:id="548"/>
      <w:r>
        <w:rPr>
          <w:rFonts w:hint="eastAsia"/>
          <w:szCs w:val="32"/>
        </w:rPr>
        <w:t>城市更新项目。</w:t>
      </w:r>
    </w:p>
    <w:p>
      <w:pPr>
        <w:pStyle w:val="2"/>
        <w:keepNext w:val="0"/>
        <w:keepLines w:val="0"/>
        <w:pageBreakBefore w:val="0"/>
        <w:kinsoku/>
        <w:wordWrap/>
        <w:overflowPunct/>
        <w:topLinePunct w:val="0"/>
        <w:bidi w:val="0"/>
        <w:snapToGrid/>
        <w:spacing w:line="560" w:lineRule="exact"/>
        <w:ind w:firstLine="640"/>
        <w:jc w:val="center"/>
        <w:textAlignment w:val="auto"/>
        <w:rPr>
          <w:rFonts w:ascii="仿宋" w:hAnsi="仿宋" w:cs="Arial"/>
          <w:bCs/>
          <w:iCs/>
          <w:color w:val="000000"/>
          <w:szCs w:val="32"/>
        </w:rPr>
      </w:pPr>
      <w:bookmarkStart w:id="549" w:name="_Toc1794491327"/>
      <w:r>
        <w:rPr>
          <w:rFonts w:hint="eastAsia" w:ascii="仿宋" w:hAnsi="仿宋" w:cs="Arial"/>
          <w:bCs/>
          <w:iCs/>
          <w:color w:val="000000"/>
          <w:szCs w:val="32"/>
        </w:rPr>
        <w:t>第六章</w:t>
      </w:r>
      <w:bookmarkEnd w:id="541"/>
      <w:bookmarkEnd w:id="542"/>
      <w:bookmarkEnd w:id="543"/>
      <w:bookmarkEnd w:id="544"/>
      <w:r>
        <w:rPr>
          <w:rFonts w:hint="eastAsia" w:ascii="仿宋" w:hAnsi="仿宋" w:cs="Arial"/>
          <w:bCs/>
          <w:iCs/>
          <w:color w:val="000000"/>
          <w:szCs w:val="32"/>
          <w:lang w:val="en-US" w:eastAsia="zh-CN"/>
        </w:rPr>
        <w:t xml:space="preserve"> </w:t>
      </w:r>
      <w:r>
        <w:rPr>
          <w:rFonts w:hint="eastAsia" w:ascii="仿宋" w:hAnsi="仿宋" w:cs="Arial"/>
          <w:bCs/>
          <w:iCs/>
          <w:color w:val="000000"/>
          <w:szCs w:val="32"/>
        </w:rPr>
        <w:t xml:space="preserve"> 监督管理</w:t>
      </w:r>
      <w:bookmarkEnd w:id="549"/>
    </w:p>
    <w:p>
      <w:pPr>
        <w:keepNext w:val="0"/>
        <w:keepLines w:val="0"/>
        <w:pageBreakBefore w:val="0"/>
        <w:kinsoku/>
        <w:wordWrap/>
        <w:overflowPunct/>
        <w:topLinePunct w:val="0"/>
        <w:bidi w:val="0"/>
        <w:snapToGrid/>
        <w:spacing w:line="560" w:lineRule="exact"/>
        <w:ind w:firstLine="640"/>
        <w:jc w:val="both"/>
        <w:textAlignment w:val="auto"/>
        <w:rPr>
          <w:szCs w:val="32"/>
        </w:rPr>
      </w:pPr>
      <w:bookmarkStart w:id="550" w:name="_Toc27129"/>
      <w:bookmarkStart w:id="551" w:name="_Toc97901706"/>
      <w:r>
        <w:rPr>
          <w:rFonts w:hint="eastAsia"/>
          <w:szCs w:val="32"/>
        </w:rPr>
        <w:t>第五十七条　全面实施城市体检评估制度，落实各区人民政府和相关主管部门工作责任，定期评估考核。</w:t>
      </w:r>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市人民政府及相关行业主管部门应当对区人民政府及相关部门城市更新过程中规划计划编制、实施主体确定、实施方案审核、审批手续办理、信息系统公示等情况进行监督指导</w:t>
      </w:r>
      <w:r>
        <w:rPr>
          <w:rFonts w:hint="eastAsia"/>
        </w:rPr>
        <w:t>、评估考核和协调调度</w:t>
      </w:r>
      <w:r>
        <w:rPr>
          <w:rFonts w:hint="eastAsia"/>
          <w:szCs w:val="32"/>
        </w:rPr>
        <w:t>。</w:t>
      </w:r>
    </w:p>
    <w:bookmarkEnd w:id="550"/>
    <w:bookmarkEnd w:id="551"/>
    <w:p>
      <w:pPr>
        <w:keepNext w:val="0"/>
        <w:keepLines w:val="0"/>
        <w:pageBreakBefore w:val="0"/>
        <w:kinsoku/>
        <w:wordWrap/>
        <w:overflowPunct/>
        <w:topLinePunct w:val="0"/>
        <w:bidi w:val="0"/>
        <w:snapToGrid/>
        <w:spacing w:line="560" w:lineRule="exact"/>
        <w:ind w:firstLine="640"/>
        <w:jc w:val="both"/>
        <w:textAlignment w:val="auto"/>
        <w:rPr>
          <w:szCs w:val="32"/>
        </w:rPr>
      </w:pPr>
      <w:bookmarkStart w:id="552" w:name="_____194"/>
      <w:bookmarkEnd w:id="552"/>
      <w:bookmarkStart w:id="553" w:name="_Hlk81143889"/>
      <w:bookmarkStart w:id="554" w:name="_Toc14891"/>
      <w:bookmarkStart w:id="555" w:name="_Toc1478578799"/>
      <w:bookmarkStart w:id="556" w:name="_Toc775763698"/>
      <w:r>
        <w:rPr>
          <w:rFonts w:hint="eastAsia"/>
          <w:szCs w:val="32"/>
        </w:rPr>
        <w:t>第五十八条　市、区</w:t>
      </w:r>
      <w:r>
        <w:rPr>
          <w:rFonts w:hint="eastAsia"/>
        </w:rPr>
        <w:t>城市更新主管部门会同</w:t>
      </w:r>
      <w:r>
        <w:rPr>
          <w:rFonts w:hint="eastAsia"/>
          <w:szCs w:val="32"/>
        </w:rPr>
        <w:t>行业主管部门对城市更新项目进行全过程监督。</w:t>
      </w:r>
    </w:p>
    <w:p>
      <w:pPr>
        <w:keepNext w:val="0"/>
        <w:keepLines w:val="0"/>
        <w:pageBreakBefore w:val="0"/>
        <w:kinsoku/>
        <w:wordWrap/>
        <w:overflowPunct/>
        <w:topLinePunct w:val="0"/>
        <w:bidi w:val="0"/>
        <w:snapToGrid/>
        <w:spacing w:line="560" w:lineRule="exact"/>
        <w:ind w:firstLine="640"/>
        <w:jc w:val="both"/>
        <w:textAlignment w:val="auto"/>
      </w:pPr>
      <w:r>
        <w:rPr>
          <w:rFonts w:hint="eastAsia"/>
        </w:rPr>
        <w:t>市区国有资产监督管理机构应当建立健全与国有企业参与城市更新活动相适应的考核机制。</w:t>
      </w:r>
    </w:p>
    <w:bookmarkEnd w:id="553"/>
    <w:bookmarkEnd w:id="554"/>
    <w:bookmarkEnd w:id="555"/>
    <w:bookmarkEnd w:id="556"/>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2"/>
        </w:rPr>
        <w:t>第五十九条　对于违反城市更新相关规定的行为，任何单位和个人有权向市、区人民政府及相关部门投诉、举报。市、区人民政府及其有关部门应当按照规定及时核实，处理投诉、举报。</w:t>
      </w:r>
    </w:p>
    <w:p>
      <w:pPr>
        <w:pStyle w:val="2"/>
        <w:keepNext w:val="0"/>
        <w:keepLines w:val="0"/>
        <w:pageBreakBefore w:val="0"/>
        <w:kinsoku/>
        <w:wordWrap/>
        <w:overflowPunct/>
        <w:topLinePunct w:val="0"/>
        <w:bidi w:val="0"/>
        <w:snapToGrid/>
        <w:spacing w:line="560" w:lineRule="exact"/>
        <w:ind w:firstLine="640"/>
        <w:jc w:val="center"/>
        <w:textAlignment w:val="auto"/>
        <w:rPr>
          <w:rFonts w:ascii="仿宋" w:hAnsi="仿宋" w:cs="Arial"/>
          <w:bCs/>
          <w:iCs/>
          <w:color w:val="000000"/>
          <w:szCs w:val="32"/>
        </w:rPr>
      </w:pPr>
      <w:bookmarkStart w:id="557" w:name="_____284"/>
      <w:bookmarkEnd w:id="557"/>
      <w:bookmarkStart w:id="558" w:name="_____286"/>
      <w:bookmarkEnd w:id="558"/>
      <w:bookmarkStart w:id="559" w:name="_____250"/>
      <w:bookmarkEnd w:id="559"/>
      <w:bookmarkStart w:id="560" w:name="_____292"/>
      <w:bookmarkEnd w:id="560"/>
      <w:bookmarkStart w:id="561" w:name="_____288"/>
      <w:bookmarkEnd w:id="561"/>
      <w:bookmarkStart w:id="562" w:name="_____290"/>
      <w:bookmarkEnd w:id="562"/>
      <w:bookmarkStart w:id="563" w:name="_Toc686358569"/>
      <w:bookmarkStart w:id="564" w:name="_Toc81484844"/>
      <w:bookmarkStart w:id="565" w:name="_Toc81486518"/>
      <w:bookmarkStart w:id="566" w:name="_Toc3771"/>
      <w:bookmarkStart w:id="567" w:name="_Toc81486394"/>
      <w:bookmarkStart w:id="568" w:name="_Toc235053194"/>
      <w:bookmarkStart w:id="569" w:name="_Toc1914305892"/>
      <w:bookmarkStart w:id="570" w:name="_Toc97901712"/>
      <w:r>
        <w:rPr>
          <w:rFonts w:hint="eastAsia" w:ascii="仿宋" w:hAnsi="仿宋" w:cs="Arial"/>
          <w:bCs/>
          <w:iCs/>
          <w:color w:val="000000"/>
          <w:szCs w:val="32"/>
        </w:rPr>
        <w:t xml:space="preserve">第七章 </w:t>
      </w:r>
      <w:r>
        <w:rPr>
          <w:rFonts w:hint="eastAsia" w:ascii="仿宋" w:hAnsi="仿宋" w:cs="Arial"/>
          <w:bCs/>
          <w:iCs/>
          <w:color w:val="000000"/>
          <w:szCs w:val="32"/>
          <w:lang w:val="en-US" w:eastAsia="zh-CN"/>
        </w:rPr>
        <w:t xml:space="preserve"> </w:t>
      </w:r>
      <w:r>
        <w:rPr>
          <w:rFonts w:ascii="仿宋" w:hAnsi="仿宋" w:cs="Arial"/>
          <w:bCs/>
          <w:iCs/>
          <w:color w:val="000000"/>
          <w:szCs w:val="32"/>
        </w:rPr>
        <w:t>法律责任</w:t>
      </w:r>
      <w:bookmarkEnd w:id="563"/>
      <w:bookmarkEnd w:id="564"/>
      <w:bookmarkEnd w:id="565"/>
      <w:bookmarkEnd w:id="566"/>
      <w:bookmarkEnd w:id="567"/>
      <w:bookmarkEnd w:id="568"/>
      <w:bookmarkEnd w:id="569"/>
      <w:bookmarkEnd w:id="570"/>
    </w:p>
    <w:p>
      <w:pPr>
        <w:keepNext w:val="0"/>
        <w:keepLines w:val="0"/>
        <w:pageBreakBefore w:val="0"/>
        <w:kinsoku/>
        <w:wordWrap/>
        <w:overflowPunct/>
        <w:topLinePunct w:val="0"/>
        <w:bidi w:val="0"/>
        <w:snapToGrid/>
        <w:spacing w:line="560" w:lineRule="exact"/>
        <w:ind w:firstLine="640"/>
        <w:jc w:val="both"/>
        <w:textAlignment w:val="auto"/>
        <w:rPr>
          <w:szCs w:val="32"/>
        </w:rPr>
      </w:pPr>
      <w:r>
        <w:rPr>
          <w:rFonts w:hint="eastAsia"/>
          <w:szCs w:val="30"/>
        </w:rPr>
        <w:t>第六十条　</w:t>
      </w:r>
      <w:r>
        <w:rPr>
          <w:szCs w:val="30"/>
        </w:rPr>
        <w:t>违反本条例规定的行为，法律、法规已有处理规定的，从其规定</w:t>
      </w:r>
      <w:r>
        <w:rPr>
          <w:rFonts w:hint="eastAsia"/>
          <w:szCs w:val="30"/>
        </w:rPr>
        <w:t>。</w:t>
      </w:r>
    </w:p>
    <w:p>
      <w:pPr>
        <w:keepNext w:val="0"/>
        <w:keepLines w:val="0"/>
        <w:pageBreakBefore w:val="0"/>
        <w:kinsoku/>
        <w:wordWrap/>
        <w:overflowPunct/>
        <w:topLinePunct w:val="0"/>
        <w:bidi w:val="0"/>
        <w:snapToGrid/>
        <w:spacing w:line="560" w:lineRule="exact"/>
        <w:ind w:firstLine="640"/>
        <w:jc w:val="both"/>
        <w:textAlignment w:val="auto"/>
        <w:rPr>
          <w:bCs/>
          <w:iCs/>
        </w:rPr>
      </w:pPr>
      <w:bookmarkStart w:id="571" w:name="_Toc1374017285"/>
      <w:bookmarkStart w:id="572" w:name="_Toc1784617699"/>
      <w:r>
        <w:rPr>
          <w:rFonts w:hint="eastAsia"/>
        </w:rPr>
        <w:t>第六十一条　违反本条例第二十八条第（三）项规定，相关物业权利人拒不遵守相关更新规定的，可</w:t>
      </w:r>
      <w:r>
        <w:rPr>
          <w:rFonts w:hint="eastAsia"/>
          <w:bCs/>
          <w:iCs/>
        </w:rPr>
        <w:t>由区城市更新主管部门责令限期改正，逾期不改的，给予警告</w:t>
      </w:r>
      <w:r>
        <w:rPr>
          <w:rFonts w:hint="eastAsia"/>
          <w:szCs w:val="32"/>
        </w:rPr>
        <w:t>、</w:t>
      </w:r>
      <w:r>
        <w:rPr>
          <w:rFonts w:hint="eastAsia"/>
          <w:bCs/>
          <w:iCs/>
        </w:rPr>
        <w:t>通报批评的处罚。</w:t>
      </w:r>
      <w:bookmarkEnd w:id="571"/>
      <w:bookmarkEnd w:id="572"/>
      <w:bookmarkStart w:id="573" w:name="_Toc11616"/>
    </w:p>
    <w:p>
      <w:pPr>
        <w:keepNext w:val="0"/>
        <w:keepLines w:val="0"/>
        <w:pageBreakBefore w:val="0"/>
        <w:kinsoku/>
        <w:wordWrap/>
        <w:overflowPunct/>
        <w:topLinePunct w:val="0"/>
        <w:bidi w:val="0"/>
        <w:snapToGrid/>
        <w:spacing w:line="560" w:lineRule="exact"/>
        <w:ind w:firstLine="640"/>
        <w:jc w:val="both"/>
        <w:textAlignment w:val="auto"/>
        <w:rPr>
          <w:rFonts w:ascii="仿宋" w:hAnsi="仿宋" w:cs="Arial"/>
          <w:bCs/>
          <w:iCs/>
          <w:color w:val="000000"/>
          <w:szCs w:val="32"/>
        </w:rPr>
      </w:pPr>
      <w:r>
        <w:rPr>
          <w:rFonts w:hint="eastAsia"/>
        </w:rPr>
        <w:t>第六十二条　实施主体</w:t>
      </w:r>
      <w:r>
        <w:rPr>
          <w:rFonts w:hint="eastAsia"/>
          <w:szCs w:val="32"/>
        </w:rPr>
        <w:t>在编制实施方案中弄虚作假、采取欺骗方式取得联合审查意见的</w:t>
      </w:r>
      <w:r>
        <w:rPr>
          <w:rFonts w:hint="eastAsia"/>
        </w:rPr>
        <w:t>，由区城市更新主管部门责令改正，给予</w:t>
      </w:r>
      <w:r>
        <w:rPr>
          <w:rFonts w:hint="eastAsia"/>
          <w:bCs/>
          <w:iCs/>
        </w:rPr>
        <w:t>警告</w:t>
      </w:r>
      <w:r>
        <w:rPr>
          <w:rFonts w:hint="eastAsia"/>
          <w:szCs w:val="32"/>
        </w:rPr>
        <w:t>、</w:t>
      </w:r>
      <w:r>
        <w:rPr>
          <w:rFonts w:hint="eastAsia"/>
          <w:bCs/>
          <w:iCs/>
        </w:rPr>
        <w:t>通报批评，并</w:t>
      </w:r>
      <w:r>
        <w:rPr>
          <w:rFonts w:hint="eastAsia"/>
        </w:rPr>
        <w:t>处五万以上十万以下罚款；情节严重的，处十万以上二十万以下罚款。</w:t>
      </w:r>
    </w:p>
    <w:bookmarkEnd w:id="573"/>
    <w:p>
      <w:pPr>
        <w:pStyle w:val="2"/>
        <w:keepNext w:val="0"/>
        <w:keepLines w:val="0"/>
        <w:pageBreakBefore w:val="0"/>
        <w:kinsoku/>
        <w:wordWrap/>
        <w:overflowPunct/>
        <w:topLinePunct w:val="0"/>
        <w:bidi w:val="0"/>
        <w:snapToGrid/>
        <w:spacing w:line="560" w:lineRule="exact"/>
        <w:ind w:firstLine="198" w:firstLineChars="62"/>
        <w:jc w:val="center"/>
        <w:textAlignment w:val="auto"/>
        <w:rPr>
          <w:rFonts w:ascii="仿宋" w:hAnsi="仿宋" w:cs="Arial"/>
          <w:bCs/>
          <w:iCs/>
          <w:color w:val="000000"/>
          <w:szCs w:val="32"/>
        </w:rPr>
      </w:pPr>
      <w:bookmarkStart w:id="574" w:name="_____298"/>
      <w:bookmarkEnd w:id="574"/>
      <w:bookmarkStart w:id="575" w:name="_____300"/>
      <w:bookmarkEnd w:id="575"/>
      <w:bookmarkStart w:id="576" w:name="_____294"/>
      <w:bookmarkEnd w:id="576"/>
      <w:bookmarkStart w:id="577" w:name="_____296"/>
      <w:bookmarkEnd w:id="577"/>
      <w:bookmarkStart w:id="578" w:name="_____302"/>
      <w:bookmarkEnd w:id="578"/>
      <w:bookmarkStart w:id="579" w:name="_Toc48469655"/>
      <w:bookmarkStart w:id="580" w:name="_Toc1461899537"/>
      <w:bookmarkStart w:id="581" w:name="_Toc97901719"/>
      <w:bookmarkStart w:id="582" w:name="_Toc81486529"/>
      <w:bookmarkStart w:id="583" w:name="_Toc81484855"/>
      <w:bookmarkStart w:id="584" w:name="_Toc81486405"/>
      <w:bookmarkStart w:id="585" w:name="_Toc97054632"/>
      <w:r>
        <w:rPr>
          <w:rFonts w:hint="eastAsia" w:ascii="仿宋" w:hAnsi="仿宋" w:cs="Arial"/>
          <w:bCs/>
          <w:iCs/>
          <w:color w:val="000000"/>
          <w:szCs w:val="32"/>
        </w:rPr>
        <w:t>第八章　附则</w:t>
      </w:r>
      <w:bookmarkEnd w:id="579"/>
      <w:bookmarkEnd w:id="580"/>
    </w:p>
    <w:bookmarkEnd w:id="581"/>
    <w:bookmarkEnd w:id="582"/>
    <w:bookmarkEnd w:id="583"/>
    <w:bookmarkEnd w:id="584"/>
    <w:bookmarkEnd w:id="585"/>
    <w:p>
      <w:pPr>
        <w:keepNext w:val="0"/>
        <w:keepLines w:val="0"/>
        <w:pageBreakBefore w:val="0"/>
        <w:kinsoku/>
        <w:wordWrap/>
        <w:overflowPunct/>
        <w:topLinePunct w:val="0"/>
        <w:bidi w:val="0"/>
        <w:snapToGrid/>
        <w:spacing w:line="560" w:lineRule="exact"/>
        <w:ind w:firstLine="640"/>
        <w:jc w:val="both"/>
        <w:textAlignment w:val="auto"/>
      </w:pPr>
      <w:r>
        <w:rPr>
          <w:rFonts w:hint="eastAsia"/>
        </w:rPr>
        <w:t>第六十三条　本条例自　年　月　日起施行。</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Microsoft YaHei UI">
    <w:altName w:val="方正细黑一_GBK"/>
    <w:panose1 w:val="00000000000000000000"/>
    <w:charset w:val="00"/>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fldChar w:fldCharType="begin"/>
    </w:r>
    <w:r>
      <w:instrText xml:space="preserve">PAGE   \* MERGEFORMAT</w:instrText>
    </w:r>
    <w:r>
      <w:fldChar w:fldCharType="separate"/>
    </w:r>
    <w:r>
      <w:rPr>
        <w:lang w:val="zh-CN"/>
      </w:rPr>
      <w:t>26</w:t>
    </w:r>
    <w:r>
      <w:rPr>
        <w:lang w:val="zh-CN"/>
      </w:rPr>
      <w:fldChar w:fldCharType="end"/>
    </w:r>
  </w:p>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41779"/>
    <w:multiLevelType w:val="multilevel"/>
    <w:tmpl w:val="49D41779"/>
    <w:lvl w:ilvl="0" w:tentative="0">
      <w:start w:val="1"/>
      <w:numFmt w:val="chineseCountingThousand"/>
      <w:pStyle w:val="4"/>
      <w:lvlText w:val="第%1条 "/>
      <w:lvlJc w:val="left"/>
      <w:pPr>
        <w:ind w:left="704" w:hanging="420"/>
      </w:pPr>
      <w:rPr>
        <w:rFonts w:hint="eastAsia" w:ascii="黑体" w:hAnsi="黑体" w:eastAsia="黑体"/>
        <w:lang w:val="en-US"/>
      </w:rPr>
    </w:lvl>
    <w:lvl w:ilvl="1" w:tentative="0">
      <w:start w:val="1"/>
      <w:numFmt w:val="lowerLetter"/>
      <w:lvlText w:val="%2)"/>
      <w:lvlJc w:val="left"/>
      <w:pPr>
        <w:ind w:left="-2104" w:hanging="420"/>
      </w:pPr>
    </w:lvl>
    <w:lvl w:ilvl="2" w:tentative="0">
      <w:start w:val="1"/>
      <w:numFmt w:val="lowerRoman"/>
      <w:lvlText w:val="%3."/>
      <w:lvlJc w:val="right"/>
      <w:pPr>
        <w:ind w:left="-1684" w:hanging="420"/>
      </w:pPr>
    </w:lvl>
    <w:lvl w:ilvl="3" w:tentative="0">
      <w:start w:val="1"/>
      <w:numFmt w:val="decimal"/>
      <w:lvlText w:val="%4."/>
      <w:lvlJc w:val="left"/>
      <w:pPr>
        <w:ind w:left="-1264" w:hanging="420"/>
      </w:pPr>
    </w:lvl>
    <w:lvl w:ilvl="4" w:tentative="0">
      <w:start w:val="1"/>
      <w:numFmt w:val="lowerLetter"/>
      <w:lvlText w:val="%5)"/>
      <w:lvlJc w:val="left"/>
      <w:pPr>
        <w:ind w:left="-844" w:hanging="420"/>
      </w:pPr>
    </w:lvl>
    <w:lvl w:ilvl="5" w:tentative="0">
      <w:start w:val="1"/>
      <w:numFmt w:val="lowerRoman"/>
      <w:lvlText w:val="%6."/>
      <w:lvlJc w:val="right"/>
      <w:pPr>
        <w:ind w:left="-424" w:hanging="420"/>
      </w:pPr>
    </w:lvl>
    <w:lvl w:ilvl="6" w:tentative="0">
      <w:start w:val="1"/>
      <w:numFmt w:val="decimal"/>
      <w:lvlText w:val="%7."/>
      <w:lvlJc w:val="left"/>
      <w:pPr>
        <w:ind w:left="-4" w:hanging="420"/>
      </w:pPr>
    </w:lvl>
    <w:lvl w:ilvl="7" w:tentative="0">
      <w:start w:val="1"/>
      <w:numFmt w:val="lowerLetter"/>
      <w:lvlText w:val="%8)"/>
      <w:lvlJc w:val="left"/>
      <w:pPr>
        <w:ind w:left="416" w:hanging="420"/>
      </w:pPr>
    </w:lvl>
    <w:lvl w:ilvl="8" w:tentative="0">
      <w:start w:val="1"/>
      <w:numFmt w:val="lowerRoman"/>
      <w:lvlText w:val="%9."/>
      <w:lvlJc w:val="right"/>
      <w:pPr>
        <w:ind w:left="83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noPunctuationKerning w:val="true"/>
  <w:characterSpacingControl w:val="doNotCompress"/>
  <w:footnotePr>
    <w:footnote w:id="0"/>
    <w:footnote w:id="1"/>
  </w:footnotePr>
  <w:endnotePr>
    <w:endnote w:id="0"/>
    <w:endnote w:id="1"/>
  </w:endnotePr>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MjM2NTI1NjQ5MWM2ZDdhZjg0YTUxN2ViZjIzMjAifQ=="/>
  </w:docVars>
  <w:rsids>
    <w:rsidRoot w:val="006D61A8"/>
    <w:rsid w:val="0001038B"/>
    <w:rsid w:val="00017BAA"/>
    <w:rsid w:val="00021D77"/>
    <w:rsid w:val="00021FDD"/>
    <w:rsid w:val="00023D90"/>
    <w:rsid w:val="00027E09"/>
    <w:rsid w:val="000414F9"/>
    <w:rsid w:val="000465D8"/>
    <w:rsid w:val="00054D07"/>
    <w:rsid w:val="000578EE"/>
    <w:rsid w:val="00061360"/>
    <w:rsid w:val="00075030"/>
    <w:rsid w:val="00076DF3"/>
    <w:rsid w:val="00077224"/>
    <w:rsid w:val="000805EB"/>
    <w:rsid w:val="000845C2"/>
    <w:rsid w:val="00090A6C"/>
    <w:rsid w:val="000939EB"/>
    <w:rsid w:val="000A357B"/>
    <w:rsid w:val="000A51B6"/>
    <w:rsid w:val="000B0EFF"/>
    <w:rsid w:val="000B2470"/>
    <w:rsid w:val="000C0AE2"/>
    <w:rsid w:val="000C2888"/>
    <w:rsid w:val="000C3034"/>
    <w:rsid w:val="000D512A"/>
    <w:rsid w:val="000D534C"/>
    <w:rsid w:val="000E42F9"/>
    <w:rsid w:val="000E50A4"/>
    <w:rsid w:val="000E6A29"/>
    <w:rsid w:val="000E7674"/>
    <w:rsid w:val="000F301A"/>
    <w:rsid w:val="00104A4F"/>
    <w:rsid w:val="001079B7"/>
    <w:rsid w:val="00107DCC"/>
    <w:rsid w:val="00111046"/>
    <w:rsid w:val="00112D0D"/>
    <w:rsid w:val="00113AE8"/>
    <w:rsid w:val="00114CCD"/>
    <w:rsid w:val="00115931"/>
    <w:rsid w:val="001209CA"/>
    <w:rsid w:val="001243AD"/>
    <w:rsid w:val="00125CCA"/>
    <w:rsid w:val="001275EB"/>
    <w:rsid w:val="0013684A"/>
    <w:rsid w:val="00137085"/>
    <w:rsid w:val="00142985"/>
    <w:rsid w:val="001531DF"/>
    <w:rsid w:val="00165278"/>
    <w:rsid w:val="00165AE4"/>
    <w:rsid w:val="00167048"/>
    <w:rsid w:val="00175DBF"/>
    <w:rsid w:val="0018027D"/>
    <w:rsid w:val="001803EC"/>
    <w:rsid w:val="0018320E"/>
    <w:rsid w:val="0018372C"/>
    <w:rsid w:val="0018449A"/>
    <w:rsid w:val="00192910"/>
    <w:rsid w:val="00193A06"/>
    <w:rsid w:val="001950BD"/>
    <w:rsid w:val="00195914"/>
    <w:rsid w:val="001A4365"/>
    <w:rsid w:val="001B7067"/>
    <w:rsid w:val="001C223F"/>
    <w:rsid w:val="001C3838"/>
    <w:rsid w:val="001C3C1E"/>
    <w:rsid w:val="001C3FC0"/>
    <w:rsid w:val="001C4901"/>
    <w:rsid w:val="001D09E2"/>
    <w:rsid w:val="001E28F9"/>
    <w:rsid w:val="001E650F"/>
    <w:rsid w:val="001E69E3"/>
    <w:rsid w:val="001E74B8"/>
    <w:rsid w:val="001F31A3"/>
    <w:rsid w:val="001F5D6D"/>
    <w:rsid w:val="00202E89"/>
    <w:rsid w:val="0021440F"/>
    <w:rsid w:val="00214B8C"/>
    <w:rsid w:val="00226F82"/>
    <w:rsid w:val="002334E2"/>
    <w:rsid w:val="00234EBC"/>
    <w:rsid w:val="00257297"/>
    <w:rsid w:val="00257424"/>
    <w:rsid w:val="00262754"/>
    <w:rsid w:val="00262F4A"/>
    <w:rsid w:val="002645EA"/>
    <w:rsid w:val="002650B5"/>
    <w:rsid w:val="00266279"/>
    <w:rsid w:val="00266D73"/>
    <w:rsid w:val="00273609"/>
    <w:rsid w:val="0027487F"/>
    <w:rsid w:val="00282C84"/>
    <w:rsid w:val="00296056"/>
    <w:rsid w:val="0029636B"/>
    <w:rsid w:val="0029642D"/>
    <w:rsid w:val="002A086E"/>
    <w:rsid w:val="002A6726"/>
    <w:rsid w:val="002C1A7D"/>
    <w:rsid w:val="002C703E"/>
    <w:rsid w:val="002D03E0"/>
    <w:rsid w:val="002D5FB1"/>
    <w:rsid w:val="002F4972"/>
    <w:rsid w:val="003008CD"/>
    <w:rsid w:val="00303603"/>
    <w:rsid w:val="003037A1"/>
    <w:rsid w:val="003143F0"/>
    <w:rsid w:val="003225A7"/>
    <w:rsid w:val="00323062"/>
    <w:rsid w:val="00330A5B"/>
    <w:rsid w:val="00330B18"/>
    <w:rsid w:val="00341CC3"/>
    <w:rsid w:val="00350AED"/>
    <w:rsid w:val="00370C2D"/>
    <w:rsid w:val="003776C4"/>
    <w:rsid w:val="0038165F"/>
    <w:rsid w:val="0038196B"/>
    <w:rsid w:val="003875DB"/>
    <w:rsid w:val="003956C9"/>
    <w:rsid w:val="003970A6"/>
    <w:rsid w:val="003974D8"/>
    <w:rsid w:val="003A08A7"/>
    <w:rsid w:val="003A0F36"/>
    <w:rsid w:val="003A2258"/>
    <w:rsid w:val="003A67B2"/>
    <w:rsid w:val="003A72F1"/>
    <w:rsid w:val="003A7ACD"/>
    <w:rsid w:val="003B4473"/>
    <w:rsid w:val="003C466A"/>
    <w:rsid w:val="003D2D6A"/>
    <w:rsid w:val="003E16ED"/>
    <w:rsid w:val="003F00E3"/>
    <w:rsid w:val="003F1F8C"/>
    <w:rsid w:val="003F4671"/>
    <w:rsid w:val="003F53D4"/>
    <w:rsid w:val="0040094B"/>
    <w:rsid w:val="00403A9F"/>
    <w:rsid w:val="00404A50"/>
    <w:rsid w:val="00407D41"/>
    <w:rsid w:val="00410EF4"/>
    <w:rsid w:val="004120CB"/>
    <w:rsid w:val="00413CD2"/>
    <w:rsid w:val="004148E6"/>
    <w:rsid w:val="004201F0"/>
    <w:rsid w:val="00421255"/>
    <w:rsid w:val="00423392"/>
    <w:rsid w:val="004234DE"/>
    <w:rsid w:val="00426697"/>
    <w:rsid w:val="00431AE7"/>
    <w:rsid w:val="00433ED6"/>
    <w:rsid w:val="00454F04"/>
    <w:rsid w:val="00457D4F"/>
    <w:rsid w:val="00480A5A"/>
    <w:rsid w:val="0048340D"/>
    <w:rsid w:val="00486180"/>
    <w:rsid w:val="0049227A"/>
    <w:rsid w:val="004A0602"/>
    <w:rsid w:val="004A7968"/>
    <w:rsid w:val="004D12FA"/>
    <w:rsid w:val="0051611E"/>
    <w:rsid w:val="00516494"/>
    <w:rsid w:val="00516D47"/>
    <w:rsid w:val="00520B96"/>
    <w:rsid w:val="00522977"/>
    <w:rsid w:val="00526AAA"/>
    <w:rsid w:val="00530209"/>
    <w:rsid w:val="00531E9F"/>
    <w:rsid w:val="00534416"/>
    <w:rsid w:val="00534DD8"/>
    <w:rsid w:val="005375D2"/>
    <w:rsid w:val="0055355C"/>
    <w:rsid w:val="005575F6"/>
    <w:rsid w:val="00565457"/>
    <w:rsid w:val="0057220A"/>
    <w:rsid w:val="0057311C"/>
    <w:rsid w:val="00575AC2"/>
    <w:rsid w:val="005872E5"/>
    <w:rsid w:val="00587870"/>
    <w:rsid w:val="00597822"/>
    <w:rsid w:val="005A54C1"/>
    <w:rsid w:val="005A60E4"/>
    <w:rsid w:val="005B0789"/>
    <w:rsid w:val="005B2D4D"/>
    <w:rsid w:val="005B7891"/>
    <w:rsid w:val="005C2D48"/>
    <w:rsid w:val="005C3794"/>
    <w:rsid w:val="005D03C3"/>
    <w:rsid w:val="005D3501"/>
    <w:rsid w:val="005D3D85"/>
    <w:rsid w:val="005D543A"/>
    <w:rsid w:val="005F153B"/>
    <w:rsid w:val="005F493E"/>
    <w:rsid w:val="005F6EB3"/>
    <w:rsid w:val="006008B3"/>
    <w:rsid w:val="0060484C"/>
    <w:rsid w:val="0060667C"/>
    <w:rsid w:val="00627906"/>
    <w:rsid w:val="00637434"/>
    <w:rsid w:val="00643B91"/>
    <w:rsid w:val="006454A2"/>
    <w:rsid w:val="00650D85"/>
    <w:rsid w:val="00651B3E"/>
    <w:rsid w:val="00662D92"/>
    <w:rsid w:val="00667FEA"/>
    <w:rsid w:val="00672AEC"/>
    <w:rsid w:val="00676F1A"/>
    <w:rsid w:val="00677439"/>
    <w:rsid w:val="00681E69"/>
    <w:rsid w:val="00682878"/>
    <w:rsid w:val="00684FC0"/>
    <w:rsid w:val="00686282"/>
    <w:rsid w:val="0069098E"/>
    <w:rsid w:val="0069577F"/>
    <w:rsid w:val="006A0D56"/>
    <w:rsid w:val="006A6B2A"/>
    <w:rsid w:val="006B2AA0"/>
    <w:rsid w:val="006C2D1E"/>
    <w:rsid w:val="006C6DD1"/>
    <w:rsid w:val="006D61A8"/>
    <w:rsid w:val="006D757B"/>
    <w:rsid w:val="006E5EC1"/>
    <w:rsid w:val="006F6C4C"/>
    <w:rsid w:val="006F7AFF"/>
    <w:rsid w:val="0070118D"/>
    <w:rsid w:val="007039F4"/>
    <w:rsid w:val="00704D2E"/>
    <w:rsid w:val="00704DFA"/>
    <w:rsid w:val="00712343"/>
    <w:rsid w:val="00717AE3"/>
    <w:rsid w:val="00723F44"/>
    <w:rsid w:val="0073047E"/>
    <w:rsid w:val="00734613"/>
    <w:rsid w:val="00735196"/>
    <w:rsid w:val="00740D17"/>
    <w:rsid w:val="00742198"/>
    <w:rsid w:val="00745FAB"/>
    <w:rsid w:val="007510F0"/>
    <w:rsid w:val="007511F0"/>
    <w:rsid w:val="007562C6"/>
    <w:rsid w:val="0075781A"/>
    <w:rsid w:val="00764E42"/>
    <w:rsid w:val="00767FE8"/>
    <w:rsid w:val="0077687F"/>
    <w:rsid w:val="00786F3D"/>
    <w:rsid w:val="00792340"/>
    <w:rsid w:val="007A2B3F"/>
    <w:rsid w:val="007B0CE4"/>
    <w:rsid w:val="007C53F9"/>
    <w:rsid w:val="007C7021"/>
    <w:rsid w:val="007C7A65"/>
    <w:rsid w:val="007D555E"/>
    <w:rsid w:val="007D671D"/>
    <w:rsid w:val="007D7F0F"/>
    <w:rsid w:val="007E00AE"/>
    <w:rsid w:val="007E158A"/>
    <w:rsid w:val="007E3ACA"/>
    <w:rsid w:val="007E723E"/>
    <w:rsid w:val="007F4ECA"/>
    <w:rsid w:val="00802669"/>
    <w:rsid w:val="00814ED4"/>
    <w:rsid w:val="008153B6"/>
    <w:rsid w:val="008161C9"/>
    <w:rsid w:val="00831C8A"/>
    <w:rsid w:val="008345A3"/>
    <w:rsid w:val="00853AC9"/>
    <w:rsid w:val="00855826"/>
    <w:rsid w:val="00856767"/>
    <w:rsid w:val="008609A0"/>
    <w:rsid w:val="008639F4"/>
    <w:rsid w:val="00866E23"/>
    <w:rsid w:val="008704D7"/>
    <w:rsid w:val="00873231"/>
    <w:rsid w:val="00876759"/>
    <w:rsid w:val="00881C40"/>
    <w:rsid w:val="00883615"/>
    <w:rsid w:val="00886318"/>
    <w:rsid w:val="00886938"/>
    <w:rsid w:val="00891FB2"/>
    <w:rsid w:val="0089448E"/>
    <w:rsid w:val="008960DB"/>
    <w:rsid w:val="00896280"/>
    <w:rsid w:val="008A2D89"/>
    <w:rsid w:val="008B06B8"/>
    <w:rsid w:val="008B0ECD"/>
    <w:rsid w:val="008B7A60"/>
    <w:rsid w:val="008C09FD"/>
    <w:rsid w:val="008C204B"/>
    <w:rsid w:val="008C284A"/>
    <w:rsid w:val="008D51DA"/>
    <w:rsid w:val="008D631D"/>
    <w:rsid w:val="008D7C9F"/>
    <w:rsid w:val="008E03C3"/>
    <w:rsid w:val="008F1840"/>
    <w:rsid w:val="008F2AB5"/>
    <w:rsid w:val="008F6B37"/>
    <w:rsid w:val="00900399"/>
    <w:rsid w:val="00905071"/>
    <w:rsid w:val="0090655F"/>
    <w:rsid w:val="009075C8"/>
    <w:rsid w:val="00910A5E"/>
    <w:rsid w:val="00912BDF"/>
    <w:rsid w:val="00917ED3"/>
    <w:rsid w:val="009269B4"/>
    <w:rsid w:val="00934A57"/>
    <w:rsid w:val="009432CC"/>
    <w:rsid w:val="009438E8"/>
    <w:rsid w:val="0094415A"/>
    <w:rsid w:val="00946712"/>
    <w:rsid w:val="00967833"/>
    <w:rsid w:val="00974446"/>
    <w:rsid w:val="00975BF9"/>
    <w:rsid w:val="0098318B"/>
    <w:rsid w:val="00991757"/>
    <w:rsid w:val="0099425D"/>
    <w:rsid w:val="009943B0"/>
    <w:rsid w:val="00994D15"/>
    <w:rsid w:val="009A10D1"/>
    <w:rsid w:val="009A34AA"/>
    <w:rsid w:val="009A5235"/>
    <w:rsid w:val="009A52DB"/>
    <w:rsid w:val="009B1BA5"/>
    <w:rsid w:val="009B3F11"/>
    <w:rsid w:val="009B5A64"/>
    <w:rsid w:val="009C2C41"/>
    <w:rsid w:val="009C32D0"/>
    <w:rsid w:val="009C559F"/>
    <w:rsid w:val="009D37AA"/>
    <w:rsid w:val="009D4630"/>
    <w:rsid w:val="009D78C5"/>
    <w:rsid w:val="009E5460"/>
    <w:rsid w:val="009E5E07"/>
    <w:rsid w:val="009E67BD"/>
    <w:rsid w:val="009F3DBC"/>
    <w:rsid w:val="00A00736"/>
    <w:rsid w:val="00A03D99"/>
    <w:rsid w:val="00A0460D"/>
    <w:rsid w:val="00A11B8C"/>
    <w:rsid w:val="00A14718"/>
    <w:rsid w:val="00A16D7B"/>
    <w:rsid w:val="00A219EC"/>
    <w:rsid w:val="00A3577E"/>
    <w:rsid w:val="00A35906"/>
    <w:rsid w:val="00A35F38"/>
    <w:rsid w:val="00A3623E"/>
    <w:rsid w:val="00A41479"/>
    <w:rsid w:val="00A45721"/>
    <w:rsid w:val="00A50E2A"/>
    <w:rsid w:val="00A53146"/>
    <w:rsid w:val="00A53168"/>
    <w:rsid w:val="00A539D2"/>
    <w:rsid w:val="00A55973"/>
    <w:rsid w:val="00A55C78"/>
    <w:rsid w:val="00A62746"/>
    <w:rsid w:val="00A65894"/>
    <w:rsid w:val="00A70BC0"/>
    <w:rsid w:val="00A80B62"/>
    <w:rsid w:val="00A84057"/>
    <w:rsid w:val="00A845AA"/>
    <w:rsid w:val="00A84977"/>
    <w:rsid w:val="00A90353"/>
    <w:rsid w:val="00A9049E"/>
    <w:rsid w:val="00A90E38"/>
    <w:rsid w:val="00A931C8"/>
    <w:rsid w:val="00A9464A"/>
    <w:rsid w:val="00A963E5"/>
    <w:rsid w:val="00AA5BE3"/>
    <w:rsid w:val="00AA6D7E"/>
    <w:rsid w:val="00AA727D"/>
    <w:rsid w:val="00AB41EC"/>
    <w:rsid w:val="00AB476D"/>
    <w:rsid w:val="00AB4DC4"/>
    <w:rsid w:val="00AB6497"/>
    <w:rsid w:val="00AC1F7B"/>
    <w:rsid w:val="00AD5954"/>
    <w:rsid w:val="00AD5F47"/>
    <w:rsid w:val="00AD602C"/>
    <w:rsid w:val="00AE10F1"/>
    <w:rsid w:val="00AE17C4"/>
    <w:rsid w:val="00AE296B"/>
    <w:rsid w:val="00AF2C79"/>
    <w:rsid w:val="00B01D55"/>
    <w:rsid w:val="00B04E7F"/>
    <w:rsid w:val="00B073EC"/>
    <w:rsid w:val="00B12C2D"/>
    <w:rsid w:val="00B14671"/>
    <w:rsid w:val="00B21175"/>
    <w:rsid w:val="00B26427"/>
    <w:rsid w:val="00B31867"/>
    <w:rsid w:val="00B455F0"/>
    <w:rsid w:val="00B464C0"/>
    <w:rsid w:val="00B47196"/>
    <w:rsid w:val="00B47F81"/>
    <w:rsid w:val="00B51A5C"/>
    <w:rsid w:val="00B52045"/>
    <w:rsid w:val="00B614C6"/>
    <w:rsid w:val="00B64A28"/>
    <w:rsid w:val="00B64F35"/>
    <w:rsid w:val="00B6525A"/>
    <w:rsid w:val="00B65441"/>
    <w:rsid w:val="00B67191"/>
    <w:rsid w:val="00B67C15"/>
    <w:rsid w:val="00B70639"/>
    <w:rsid w:val="00B85056"/>
    <w:rsid w:val="00B872F1"/>
    <w:rsid w:val="00B900B0"/>
    <w:rsid w:val="00B92213"/>
    <w:rsid w:val="00BA2069"/>
    <w:rsid w:val="00BB4508"/>
    <w:rsid w:val="00BB5FA5"/>
    <w:rsid w:val="00BC20AC"/>
    <w:rsid w:val="00BC661C"/>
    <w:rsid w:val="00BD036A"/>
    <w:rsid w:val="00BD3A93"/>
    <w:rsid w:val="00BD50F7"/>
    <w:rsid w:val="00BD590E"/>
    <w:rsid w:val="00BD7633"/>
    <w:rsid w:val="00BF2AE9"/>
    <w:rsid w:val="00BF486C"/>
    <w:rsid w:val="00C0173D"/>
    <w:rsid w:val="00C02E4F"/>
    <w:rsid w:val="00C0757A"/>
    <w:rsid w:val="00C11568"/>
    <w:rsid w:val="00C16B80"/>
    <w:rsid w:val="00C20DD2"/>
    <w:rsid w:val="00C22841"/>
    <w:rsid w:val="00C27232"/>
    <w:rsid w:val="00C359BA"/>
    <w:rsid w:val="00C369D0"/>
    <w:rsid w:val="00C40B4A"/>
    <w:rsid w:val="00C46A46"/>
    <w:rsid w:val="00C4707E"/>
    <w:rsid w:val="00C558F1"/>
    <w:rsid w:val="00C6281A"/>
    <w:rsid w:val="00C66FD9"/>
    <w:rsid w:val="00C83612"/>
    <w:rsid w:val="00C86C7A"/>
    <w:rsid w:val="00C90BB5"/>
    <w:rsid w:val="00C9367A"/>
    <w:rsid w:val="00CA1744"/>
    <w:rsid w:val="00CA6FF9"/>
    <w:rsid w:val="00CB08B2"/>
    <w:rsid w:val="00CB08ED"/>
    <w:rsid w:val="00CB2E7A"/>
    <w:rsid w:val="00CB5671"/>
    <w:rsid w:val="00CC379E"/>
    <w:rsid w:val="00CD3E4A"/>
    <w:rsid w:val="00CD57C4"/>
    <w:rsid w:val="00CE00FE"/>
    <w:rsid w:val="00CE33FB"/>
    <w:rsid w:val="00CF163C"/>
    <w:rsid w:val="00CF211A"/>
    <w:rsid w:val="00CF4271"/>
    <w:rsid w:val="00D00114"/>
    <w:rsid w:val="00D02863"/>
    <w:rsid w:val="00D03790"/>
    <w:rsid w:val="00D03AD1"/>
    <w:rsid w:val="00D11757"/>
    <w:rsid w:val="00D12BD2"/>
    <w:rsid w:val="00D168AD"/>
    <w:rsid w:val="00D1797E"/>
    <w:rsid w:val="00D2392D"/>
    <w:rsid w:val="00D23DAA"/>
    <w:rsid w:val="00D43073"/>
    <w:rsid w:val="00D45988"/>
    <w:rsid w:val="00D5108D"/>
    <w:rsid w:val="00D55AAE"/>
    <w:rsid w:val="00D60E84"/>
    <w:rsid w:val="00D67B8B"/>
    <w:rsid w:val="00D71A91"/>
    <w:rsid w:val="00D85E77"/>
    <w:rsid w:val="00D905E6"/>
    <w:rsid w:val="00D912FB"/>
    <w:rsid w:val="00D94F69"/>
    <w:rsid w:val="00D96D53"/>
    <w:rsid w:val="00DA1C22"/>
    <w:rsid w:val="00DA3F80"/>
    <w:rsid w:val="00DA455E"/>
    <w:rsid w:val="00DA568A"/>
    <w:rsid w:val="00DA65FB"/>
    <w:rsid w:val="00DA70BF"/>
    <w:rsid w:val="00DB4E55"/>
    <w:rsid w:val="00DB5AFD"/>
    <w:rsid w:val="00DC37B3"/>
    <w:rsid w:val="00DD51FB"/>
    <w:rsid w:val="00DD54C1"/>
    <w:rsid w:val="00DD6211"/>
    <w:rsid w:val="00DD6847"/>
    <w:rsid w:val="00DE40C9"/>
    <w:rsid w:val="00DF2B28"/>
    <w:rsid w:val="00DF2BA7"/>
    <w:rsid w:val="00E017A4"/>
    <w:rsid w:val="00E1021F"/>
    <w:rsid w:val="00E14F97"/>
    <w:rsid w:val="00E178B7"/>
    <w:rsid w:val="00E22B94"/>
    <w:rsid w:val="00E2340D"/>
    <w:rsid w:val="00E33C20"/>
    <w:rsid w:val="00E367B8"/>
    <w:rsid w:val="00E4129C"/>
    <w:rsid w:val="00E41435"/>
    <w:rsid w:val="00E41AC3"/>
    <w:rsid w:val="00E41CB1"/>
    <w:rsid w:val="00E54C38"/>
    <w:rsid w:val="00E54FB8"/>
    <w:rsid w:val="00E555FB"/>
    <w:rsid w:val="00E61418"/>
    <w:rsid w:val="00E676C0"/>
    <w:rsid w:val="00E70019"/>
    <w:rsid w:val="00EA48D0"/>
    <w:rsid w:val="00EA6B4E"/>
    <w:rsid w:val="00EA6E4E"/>
    <w:rsid w:val="00EC1D80"/>
    <w:rsid w:val="00EC4429"/>
    <w:rsid w:val="00EC4800"/>
    <w:rsid w:val="00EC6067"/>
    <w:rsid w:val="00ED3FF4"/>
    <w:rsid w:val="00EE490A"/>
    <w:rsid w:val="00EE541C"/>
    <w:rsid w:val="00EE77B2"/>
    <w:rsid w:val="00EF1916"/>
    <w:rsid w:val="00EF6EA5"/>
    <w:rsid w:val="00F0706B"/>
    <w:rsid w:val="00F227E3"/>
    <w:rsid w:val="00F30538"/>
    <w:rsid w:val="00F306C5"/>
    <w:rsid w:val="00F33B0E"/>
    <w:rsid w:val="00F34779"/>
    <w:rsid w:val="00F35210"/>
    <w:rsid w:val="00F36049"/>
    <w:rsid w:val="00F37141"/>
    <w:rsid w:val="00F41395"/>
    <w:rsid w:val="00F507BF"/>
    <w:rsid w:val="00F53B5E"/>
    <w:rsid w:val="00F54F3D"/>
    <w:rsid w:val="00F61433"/>
    <w:rsid w:val="00F70114"/>
    <w:rsid w:val="00F7024C"/>
    <w:rsid w:val="00F714A1"/>
    <w:rsid w:val="00F722FF"/>
    <w:rsid w:val="00F9071B"/>
    <w:rsid w:val="00F950ED"/>
    <w:rsid w:val="00F96D76"/>
    <w:rsid w:val="00FA04F6"/>
    <w:rsid w:val="00FA55A3"/>
    <w:rsid w:val="00FB7B97"/>
    <w:rsid w:val="00FC4B46"/>
    <w:rsid w:val="00FC7F63"/>
    <w:rsid w:val="00FD4806"/>
    <w:rsid w:val="00FD5460"/>
    <w:rsid w:val="00FE57CF"/>
    <w:rsid w:val="0C9F6CA2"/>
    <w:rsid w:val="0D6261E2"/>
    <w:rsid w:val="10042986"/>
    <w:rsid w:val="19EF21D0"/>
    <w:rsid w:val="1E875215"/>
    <w:rsid w:val="1FBE8A98"/>
    <w:rsid w:val="20BE33A0"/>
    <w:rsid w:val="21D63C16"/>
    <w:rsid w:val="23D871BD"/>
    <w:rsid w:val="296D6B05"/>
    <w:rsid w:val="2B70236E"/>
    <w:rsid w:val="2BFD3D16"/>
    <w:rsid w:val="2D893995"/>
    <w:rsid w:val="2DF00719"/>
    <w:rsid w:val="2DFBABA7"/>
    <w:rsid w:val="2F1BD905"/>
    <w:rsid w:val="2F5C0CD0"/>
    <w:rsid w:val="3057197E"/>
    <w:rsid w:val="32CE3D7D"/>
    <w:rsid w:val="33F97112"/>
    <w:rsid w:val="379326B9"/>
    <w:rsid w:val="3A8FD2B5"/>
    <w:rsid w:val="3B3A77FE"/>
    <w:rsid w:val="3D7EAB9D"/>
    <w:rsid w:val="3F9FC91C"/>
    <w:rsid w:val="3FD45530"/>
    <w:rsid w:val="3FD70C97"/>
    <w:rsid w:val="403976F5"/>
    <w:rsid w:val="49BF805F"/>
    <w:rsid w:val="504F7091"/>
    <w:rsid w:val="56DF4F3A"/>
    <w:rsid w:val="56F03943"/>
    <w:rsid w:val="585B6DBA"/>
    <w:rsid w:val="5A2453D9"/>
    <w:rsid w:val="5B9C00AC"/>
    <w:rsid w:val="5E580449"/>
    <w:rsid w:val="6432055C"/>
    <w:rsid w:val="657A6C78"/>
    <w:rsid w:val="66EEB93A"/>
    <w:rsid w:val="6E7FB664"/>
    <w:rsid w:val="72C1503F"/>
    <w:rsid w:val="733938C6"/>
    <w:rsid w:val="73D59185"/>
    <w:rsid w:val="76FFBF1C"/>
    <w:rsid w:val="77FB3843"/>
    <w:rsid w:val="79A61220"/>
    <w:rsid w:val="7ACCF263"/>
    <w:rsid w:val="7C6C0EEF"/>
    <w:rsid w:val="7DDDEED2"/>
    <w:rsid w:val="7DE69210"/>
    <w:rsid w:val="7DFDDB80"/>
    <w:rsid w:val="7F37509A"/>
    <w:rsid w:val="7F8D2F6B"/>
    <w:rsid w:val="7FAF2191"/>
    <w:rsid w:val="7FF944C3"/>
    <w:rsid w:val="7FFBAAF4"/>
    <w:rsid w:val="7FFF2FE0"/>
    <w:rsid w:val="969E86A6"/>
    <w:rsid w:val="9BAD0767"/>
    <w:rsid w:val="A7FBE49B"/>
    <w:rsid w:val="B9DF8843"/>
    <w:rsid w:val="C7D7D550"/>
    <w:rsid w:val="CBF5C7F8"/>
    <w:rsid w:val="CC79DC62"/>
    <w:rsid w:val="D3FF52F8"/>
    <w:rsid w:val="D3FF9767"/>
    <w:rsid w:val="DFC76FBD"/>
    <w:rsid w:val="DFDF9D9A"/>
    <w:rsid w:val="E6FD7E1E"/>
    <w:rsid w:val="E7FEDD36"/>
    <w:rsid w:val="EB765216"/>
    <w:rsid w:val="EBDFA895"/>
    <w:rsid w:val="ECBF1122"/>
    <w:rsid w:val="EF2B70B5"/>
    <w:rsid w:val="EFEF3F85"/>
    <w:rsid w:val="EFFF7BB5"/>
    <w:rsid w:val="F1B64A62"/>
    <w:rsid w:val="F3FF2849"/>
    <w:rsid w:val="F5F9E87F"/>
    <w:rsid w:val="F69D4208"/>
    <w:rsid w:val="F7FE27A7"/>
    <w:rsid w:val="F9ED1E34"/>
    <w:rsid w:val="F9FF8017"/>
    <w:rsid w:val="FB624771"/>
    <w:rsid w:val="FB9B0B19"/>
    <w:rsid w:val="FC3F04D1"/>
    <w:rsid w:val="FDFF3963"/>
    <w:rsid w:val="FEFB9046"/>
    <w:rsid w:val="FEFE4FE7"/>
    <w:rsid w:val="FF0B5345"/>
    <w:rsid w:val="FF673876"/>
    <w:rsid w:val="FFD4B3BC"/>
    <w:rsid w:val="FFDD02A8"/>
    <w:rsid w:val="FFDF9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20" w:lineRule="exact"/>
      <w:ind w:firstLine="200" w:firstLineChars="200"/>
      <w:jc w:val="both"/>
    </w:pPr>
    <w:rPr>
      <w:rFonts w:ascii="Times New Roman" w:hAnsi="Times New Roman" w:eastAsia="仿宋" w:cs="Times New Roman"/>
      <w:sz w:val="32"/>
      <w:szCs w:val="28"/>
      <w:lang w:val="en-US" w:eastAsia="zh-CN" w:bidi="ar-SA"/>
    </w:rPr>
  </w:style>
  <w:style w:type="paragraph" w:styleId="3">
    <w:name w:val="heading 1"/>
    <w:basedOn w:val="1"/>
    <w:next w:val="1"/>
    <w:qFormat/>
    <w:uiPriority w:val="0"/>
    <w:pPr>
      <w:spacing w:before="156" w:after="156" w:line="610" w:lineRule="exact"/>
      <w:ind w:firstLine="0" w:firstLineChars="0"/>
      <w:jc w:val="center"/>
      <w:outlineLvl w:val="0"/>
    </w:pPr>
    <w:rPr>
      <w:rFonts w:ascii="宋体" w:hAnsi="宋体" w:eastAsia="黑体" w:cs="宋体"/>
      <w:color w:val="000000"/>
      <w:kern w:val="32"/>
      <w:szCs w:val="32"/>
    </w:rPr>
  </w:style>
  <w:style w:type="paragraph" w:styleId="4">
    <w:name w:val="heading 2"/>
    <w:basedOn w:val="1"/>
    <w:next w:val="1"/>
    <w:link w:val="37"/>
    <w:qFormat/>
    <w:uiPriority w:val="0"/>
    <w:pPr>
      <w:numPr>
        <w:ilvl w:val="0"/>
        <w:numId w:val="1"/>
      </w:numPr>
      <w:spacing w:before="360" w:after="156"/>
      <w:ind w:left="0" w:firstLine="640"/>
      <w:outlineLvl w:val="1"/>
    </w:pPr>
    <w:rPr>
      <w:rFonts w:eastAsia="黑体" w:cs="Arial"/>
      <w:bCs/>
      <w:iCs/>
      <w:color w:val="000000"/>
      <w:szCs w:val="32"/>
    </w:rPr>
  </w:style>
  <w:style w:type="paragraph" w:styleId="5">
    <w:name w:val="heading 3"/>
    <w:basedOn w:val="1"/>
    <w:next w:val="1"/>
    <w:link w:val="38"/>
    <w:qFormat/>
    <w:uiPriority w:val="0"/>
    <w:pPr>
      <w:keepNext/>
      <w:spacing w:beforeLines="50"/>
      <w:ind w:firstLine="0" w:firstLineChars="0"/>
      <w:jc w:val="center"/>
      <w:outlineLvl w:val="2"/>
    </w:pPr>
    <w:rPr>
      <w:rFonts w:eastAsia="黑体" w:cs="Arial"/>
      <w:bCs/>
      <w:szCs w:val="26"/>
    </w:rPr>
  </w:style>
  <w:style w:type="paragraph" w:styleId="6">
    <w:name w:val="heading 4"/>
    <w:basedOn w:val="1"/>
    <w:next w:val="1"/>
    <w:qFormat/>
    <w:uiPriority w:val="0"/>
    <w:pPr>
      <w:keepNext/>
      <w:spacing w:before="156"/>
      <w:ind w:firstLine="562"/>
      <w:outlineLvl w:val="3"/>
    </w:pPr>
    <w:rPr>
      <w:rFonts w:ascii="宋体" w:hAnsi="宋体" w:eastAsia="宋体" w:cs="宋体"/>
      <w:b/>
      <w:i/>
      <w:iCs/>
    </w:rPr>
  </w:style>
  <w:style w:type="paragraph" w:styleId="7">
    <w:name w:val="heading 5"/>
    <w:basedOn w:val="1"/>
    <w:next w:val="1"/>
    <w:qFormat/>
    <w:uiPriority w:val="0"/>
    <w:pPr>
      <w:spacing w:after="60"/>
      <w:outlineLvl w:val="4"/>
    </w:pPr>
    <w:rPr>
      <w:b/>
      <w:bCs/>
      <w:i/>
      <w:iCs/>
      <w:sz w:val="26"/>
      <w:szCs w:val="26"/>
    </w:rPr>
  </w:style>
  <w:style w:type="paragraph" w:styleId="8">
    <w:name w:val="heading 6"/>
    <w:basedOn w:val="1"/>
    <w:next w:val="1"/>
    <w:qFormat/>
    <w:uiPriority w:val="0"/>
    <w:pPr>
      <w:spacing w:after="60"/>
      <w:outlineLvl w:val="5"/>
    </w:pPr>
    <w:rPr>
      <w:b/>
      <w:bCs/>
      <w:sz w:val="22"/>
      <w:szCs w:val="2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6"/>
    <w:qFormat/>
    <w:uiPriority w:val="0"/>
    <w:pPr>
      <w:spacing w:after="120"/>
    </w:pPr>
  </w:style>
  <w:style w:type="paragraph" w:styleId="9">
    <w:name w:val="toc 7"/>
    <w:basedOn w:val="1"/>
    <w:next w:val="1"/>
    <w:unhideWhenUsed/>
    <w:qFormat/>
    <w:uiPriority w:val="39"/>
    <w:pPr>
      <w:widowControl w:val="0"/>
      <w:ind w:left="2520" w:leftChars="1200"/>
    </w:pPr>
    <w:rPr>
      <w:rFonts w:ascii="Calibri" w:hAnsi="Calibri"/>
      <w:kern w:val="2"/>
      <w:sz w:val="21"/>
      <w:szCs w:val="22"/>
    </w:rPr>
  </w:style>
  <w:style w:type="paragraph" w:styleId="10">
    <w:name w:val="Normal Indent"/>
    <w:basedOn w:val="1"/>
    <w:qFormat/>
    <w:uiPriority w:val="0"/>
    <w:pPr>
      <w:ind w:firstLine="420"/>
    </w:pPr>
  </w:style>
  <w:style w:type="paragraph" w:styleId="11">
    <w:name w:val="Document Map"/>
    <w:basedOn w:val="1"/>
    <w:link w:val="39"/>
    <w:qFormat/>
    <w:uiPriority w:val="0"/>
    <w:rPr>
      <w:rFonts w:ascii="Microsoft YaHei UI" w:eastAsia="Microsoft YaHei UI"/>
      <w:sz w:val="18"/>
      <w:szCs w:val="18"/>
    </w:rPr>
  </w:style>
  <w:style w:type="paragraph" w:styleId="12">
    <w:name w:val="annotation text"/>
    <w:basedOn w:val="1"/>
    <w:link w:val="40"/>
    <w:qFormat/>
    <w:uiPriority w:val="0"/>
  </w:style>
  <w:style w:type="paragraph" w:styleId="13">
    <w:name w:val="toc 5"/>
    <w:basedOn w:val="1"/>
    <w:next w:val="1"/>
    <w:unhideWhenUsed/>
    <w:qFormat/>
    <w:uiPriority w:val="39"/>
    <w:pPr>
      <w:widowControl w:val="0"/>
      <w:ind w:left="1680" w:leftChars="800"/>
    </w:pPr>
    <w:rPr>
      <w:rFonts w:ascii="Calibri" w:hAnsi="Calibri"/>
      <w:kern w:val="2"/>
      <w:sz w:val="21"/>
      <w:szCs w:val="22"/>
    </w:rPr>
  </w:style>
  <w:style w:type="paragraph" w:styleId="14">
    <w:name w:val="toc 3"/>
    <w:basedOn w:val="1"/>
    <w:next w:val="1"/>
    <w:qFormat/>
    <w:uiPriority w:val="39"/>
    <w:pPr>
      <w:tabs>
        <w:tab w:val="left" w:pos="1400"/>
        <w:tab w:val="right" w:leader="dot" w:pos="8296"/>
      </w:tabs>
      <w:spacing w:line="360" w:lineRule="exact"/>
      <w:ind w:firstLine="840" w:firstLineChars="300"/>
    </w:pPr>
    <w:rPr>
      <w:rFonts w:eastAsia="楷体"/>
      <w:szCs w:val="24"/>
    </w:rPr>
  </w:style>
  <w:style w:type="paragraph" w:styleId="15">
    <w:name w:val="Plain Text"/>
    <w:basedOn w:val="1"/>
    <w:link w:val="41"/>
    <w:qFormat/>
    <w:uiPriority w:val="0"/>
    <w:rPr>
      <w:rFonts w:ascii="宋体" w:hAnsi="Courier New" w:eastAsia="宋体" w:cs="Courier New"/>
    </w:rPr>
  </w:style>
  <w:style w:type="paragraph" w:styleId="16">
    <w:name w:val="toc 8"/>
    <w:basedOn w:val="1"/>
    <w:next w:val="1"/>
    <w:unhideWhenUsed/>
    <w:qFormat/>
    <w:uiPriority w:val="39"/>
    <w:pPr>
      <w:widowControl w:val="0"/>
      <w:ind w:left="2940" w:leftChars="1400"/>
    </w:pPr>
    <w:rPr>
      <w:rFonts w:ascii="Calibri" w:hAnsi="Calibri"/>
      <w:kern w:val="2"/>
      <w:sz w:val="21"/>
      <w:szCs w:val="22"/>
    </w:rPr>
  </w:style>
  <w:style w:type="paragraph" w:styleId="17">
    <w:name w:val="Body Text Indent 2"/>
    <w:basedOn w:val="1"/>
    <w:link w:val="42"/>
    <w:qFormat/>
    <w:uiPriority w:val="0"/>
    <w:pPr>
      <w:widowControl w:val="0"/>
      <w:suppressAutoHyphens/>
      <w:spacing w:after="120" w:line="480" w:lineRule="auto"/>
      <w:ind w:left="420" w:leftChars="200" w:firstLine="0" w:firstLineChars="0"/>
    </w:pPr>
    <w:rPr>
      <w:rFonts w:ascii="Calibri" w:hAnsi="Calibri" w:eastAsia="宋体"/>
      <w:kern w:val="2"/>
      <w:sz w:val="21"/>
      <w:szCs w:val="24"/>
    </w:rPr>
  </w:style>
  <w:style w:type="paragraph" w:styleId="18">
    <w:name w:val="Balloon Text"/>
    <w:basedOn w:val="1"/>
    <w:link w:val="43"/>
    <w:unhideWhenUsed/>
    <w:qFormat/>
    <w:uiPriority w:val="0"/>
    <w:pPr>
      <w:spacing w:line="240" w:lineRule="auto"/>
    </w:pPr>
    <w:rPr>
      <w:sz w:val="18"/>
      <w:szCs w:val="18"/>
    </w:rPr>
  </w:style>
  <w:style w:type="paragraph" w:styleId="19">
    <w:name w:val="footer"/>
    <w:basedOn w:val="1"/>
    <w:link w:val="44"/>
    <w:qFormat/>
    <w:uiPriority w:val="99"/>
    <w:pPr>
      <w:tabs>
        <w:tab w:val="center" w:pos="4153"/>
        <w:tab w:val="right" w:pos="8306"/>
      </w:tabs>
      <w:snapToGrid w:val="0"/>
    </w:pPr>
    <w:rPr>
      <w:sz w:val="18"/>
      <w:szCs w:val="18"/>
    </w:rPr>
  </w:style>
  <w:style w:type="paragraph" w:styleId="20">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296"/>
      </w:tabs>
      <w:spacing w:beforeLines="50" w:afterLines="50" w:line="400" w:lineRule="exact"/>
      <w:ind w:firstLine="562"/>
    </w:pPr>
    <w:rPr>
      <w:rFonts w:eastAsia="黑体"/>
      <w:b/>
      <w:bCs/>
    </w:rPr>
  </w:style>
  <w:style w:type="paragraph" w:styleId="22">
    <w:name w:val="toc 4"/>
    <w:basedOn w:val="1"/>
    <w:next w:val="1"/>
    <w:unhideWhenUsed/>
    <w:qFormat/>
    <w:uiPriority w:val="39"/>
    <w:pPr>
      <w:widowControl w:val="0"/>
      <w:ind w:left="1680" w:leftChars="600"/>
    </w:pPr>
    <w:rPr>
      <w:rFonts w:ascii="Calibri" w:hAnsi="Calibri"/>
      <w:kern w:val="2"/>
      <w:sz w:val="21"/>
      <w:szCs w:val="22"/>
    </w:rPr>
  </w:style>
  <w:style w:type="paragraph" w:styleId="23">
    <w:name w:val="toc 6"/>
    <w:basedOn w:val="1"/>
    <w:next w:val="1"/>
    <w:unhideWhenUsed/>
    <w:qFormat/>
    <w:uiPriority w:val="39"/>
    <w:pPr>
      <w:widowControl w:val="0"/>
      <w:ind w:left="2100" w:leftChars="1000"/>
    </w:pPr>
    <w:rPr>
      <w:rFonts w:ascii="Calibri" w:hAnsi="Calibri"/>
      <w:kern w:val="2"/>
      <w:sz w:val="21"/>
      <w:szCs w:val="22"/>
    </w:rPr>
  </w:style>
  <w:style w:type="paragraph" w:styleId="24">
    <w:name w:val="toc 2"/>
    <w:basedOn w:val="1"/>
    <w:next w:val="1"/>
    <w:qFormat/>
    <w:uiPriority w:val="39"/>
    <w:pPr>
      <w:tabs>
        <w:tab w:val="left" w:pos="880"/>
        <w:tab w:val="left" w:pos="2100"/>
        <w:tab w:val="right" w:leader="dot" w:pos="8630"/>
      </w:tabs>
      <w:spacing w:line="400" w:lineRule="exact"/>
    </w:pPr>
    <w:rPr>
      <w:b/>
      <w:sz w:val="30"/>
    </w:rPr>
  </w:style>
  <w:style w:type="paragraph" w:styleId="25">
    <w:name w:val="toc 9"/>
    <w:basedOn w:val="1"/>
    <w:next w:val="1"/>
    <w:unhideWhenUsed/>
    <w:qFormat/>
    <w:uiPriority w:val="39"/>
    <w:pPr>
      <w:widowControl w:val="0"/>
      <w:ind w:left="3360" w:leftChars="1600"/>
    </w:pPr>
    <w:rPr>
      <w:rFonts w:ascii="Calibri" w:hAnsi="Calibri"/>
      <w:kern w:val="2"/>
      <w:sz w:val="21"/>
      <w:szCs w:val="22"/>
    </w:rPr>
  </w:style>
  <w:style w:type="paragraph" w:styleId="26">
    <w:name w:val="Normal (Web)"/>
    <w:basedOn w:val="1"/>
    <w:unhideWhenUsed/>
    <w:qFormat/>
    <w:uiPriority w:val="99"/>
    <w:pPr>
      <w:spacing w:before="100" w:beforeAutospacing="1" w:after="100" w:afterAutospacing="1"/>
      <w:ind w:firstLine="0"/>
    </w:pPr>
    <w:rPr>
      <w:rFonts w:ascii="宋体" w:hAnsi="宋体" w:eastAsia="宋体" w:cs="宋体"/>
    </w:rPr>
  </w:style>
  <w:style w:type="paragraph" w:styleId="27">
    <w:name w:val="Title"/>
    <w:basedOn w:val="1"/>
    <w:qFormat/>
    <w:uiPriority w:val="0"/>
    <w:pPr>
      <w:spacing w:after="60"/>
      <w:jc w:val="center"/>
      <w:outlineLvl w:val="0"/>
    </w:pPr>
    <w:rPr>
      <w:rFonts w:ascii="Arial" w:hAnsi="Arial" w:cs="Arial"/>
      <w:b/>
      <w:bCs/>
      <w:kern w:val="28"/>
      <w:szCs w:val="32"/>
    </w:rPr>
  </w:style>
  <w:style w:type="paragraph" w:styleId="28">
    <w:name w:val="annotation subject"/>
    <w:basedOn w:val="12"/>
    <w:next w:val="12"/>
    <w:link w:val="46"/>
    <w:unhideWhenUsed/>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FollowedHyperlink"/>
    <w:unhideWhenUsed/>
    <w:qFormat/>
    <w:uiPriority w:val="99"/>
    <w:rPr>
      <w:color w:val="800080"/>
      <w:u w:val="single"/>
    </w:rPr>
  </w:style>
  <w:style w:type="character" w:styleId="33">
    <w:name w:val="Hyperlink"/>
    <w:qFormat/>
    <w:uiPriority w:val="99"/>
    <w:rPr>
      <w:color w:val="0000FF"/>
      <w:u w:val="single"/>
    </w:rPr>
  </w:style>
  <w:style w:type="character" w:styleId="34">
    <w:name w:val="annotation reference"/>
    <w:qFormat/>
    <w:uiPriority w:val="0"/>
    <w:rPr>
      <w:sz w:val="21"/>
      <w:szCs w:val="21"/>
    </w:rPr>
  </w:style>
  <w:style w:type="character" w:styleId="35">
    <w:name w:val="HTML Cite"/>
    <w:qFormat/>
    <w:uiPriority w:val="0"/>
    <w:rPr>
      <w:i/>
      <w:iCs/>
    </w:rPr>
  </w:style>
  <w:style w:type="character" w:customStyle="1" w:styleId="36">
    <w:name w:val="正文文本 Char"/>
    <w:link w:val="2"/>
    <w:qFormat/>
    <w:uiPriority w:val="0"/>
    <w:rPr>
      <w:rFonts w:eastAsia="仿宋"/>
      <w:sz w:val="28"/>
      <w:szCs w:val="28"/>
    </w:rPr>
  </w:style>
  <w:style w:type="character" w:customStyle="1" w:styleId="37">
    <w:name w:val="标题 2 Char"/>
    <w:link w:val="4"/>
    <w:qFormat/>
    <w:uiPriority w:val="0"/>
    <w:rPr>
      <w:rFonts w:eastAsia="黑体" w:cs="Arial"/>
      <w:bCs/>
      <w:iCs/>
      <w:color w:val="000000"/>
      <w:sz w:val="32"/>
      <w:szCs w:val="32"/>
    </w:rPr>
  </w:style>
  <w:style w:type="character" w:customStyle="1" w:styleId="38">
    <w:name w:val="标题 3 Char"/>
    <w:link w:val="5"/>
    <w:qFormat/>
    <w:uiPriority w:val="0"/>
    <w:rPr>
      <w:rFonts w:eastAsia="黑体" w:cs="Arial"/>
      <w:bCs/>
      <w:sz w:val="32"/>
      <w:szCs w:val="26"/>
    </w:rPr>
  </w:style>
  <w:style w:type="character" w:customStyle="1" w:styleId="39">
    <w:name w:val="文档结构图 Char"/>
    <w:link w:val="11"/>
    <w:qFormat/>
    <w:uiPriority w:val="0"/>
    <w:rPr>
      <w:rFonts w:ascii="Microsoft YaHei UI" w:eastAsia="Microsoft YaHei UI"/>
      <w:sz w:val="18"/>
      <w:szCs w:val="18"/>
    </w:rPr>
  </w:style>
  <w:style w:type="character" w:customStyle="1" w:styleId="40">
    <w:name w:val="批注文字 Char"/>
    <w:link w:val="12"/>
    <w:qFormat/>
    <w:uiPriority w:val="0"/>
    <w:rPr>
      <w:rFonts w:eastAsia="仿宋"/>
      <w:sz w:val="28"/>
      <w:szCs w:val="28"/>
    </w:rPr>
  </w:style>
  <w:style w:type="character" w:customStyle="1" w:styleId="41">
    <w:name w:val="纯文本 Char"/>
    <w:link w:val="15"/>
    <w:qFormat/>
    <w:uiPriority w:val="0"/>
    <w:rPr>
      <w:rFonts w:ascii="宋体" w:hAnsi="Courier New" w:cs="Courier New"/>
      <w:sz w:val="28"/>
      <w:szCs w:val="28"/>
    </w:rPr>
  </w:style>
  <w:style w:type="character" w:customStyle="1" w:styleId="42">
    <w:name w:val="正文文本缩进 2 Char"/>
    <w:link w:val="17"/>
    <w:qFormat/>
    <w:uiPriority w:val="0"/>
    <w:rPr>
      <w:rFonts w:ascii="Calibri" w:hAnsi="Calibri"/>
      <w:kern w:val="2"/>
      <w:sz w:val="21"/>
      <w:szCs w:val="24"/>
    </w:rPr>
  </w:style>
  <w:style w:type="character" w:customStyle="1" w:styleId="43">
    <w:name w:val="批注框文本 Char"/>
    <w:link w:val="18"/>
    <w:semiHidden/>
    <w:qFormat/>
    <w:uiPriority w:val="0"/>
    <w:rPr>
      <w:rFonts w:eastAsia="仿宋"/>
      <w:sz w:val="18"/>
      <w:szCs w:val="18"/>
    </w:rPr>
  </w:style>
  <w:style w:type="character" w:customStyle="1" w:styleId="44">
    <w:name w:val="页脚 Char"/>
    <w:link w:val="19"/>
    <w:qFormat/>
    <w:uiPriority w:val="99"/>
    <w:rPr>
      <w:sz w:val="18"/>
      <w:szCs w:val="18"/>
    </w:rPr>
  </w:style>
  <w:style w:type="character" w:customStyle="1" w:styleId="45">
    <w:name w:val="页眉 Char"/>
    <w:link w:val="20"/>
    <w:qFormat/>
    <w:uiPriority w:val="0"/>
    <w:rPr>
      <w:sz w:val="18"/>
      <w:szCs w:val="18"/>
    </w:rPr>
  </w:style>
  <w:style w:type="character" w:customStyle="1" w:styleId="46">
    <w:name w:val="批注主题 Char"/>
    <w:link w:val="28"/>
    <w:semiHidden/>
    <w:qFormat/>
    <w:uiPriority w:val="0"/>
    <w:rPr>
      <w:rFonts w:eastAsia="仿宋"/>
      <w:b/>
      <w:bCs/>
      <w:sz w:val="28"/>
      <w:szCs w:val="28"/>
    </w:rPr>
  </w:style>
  <w:style w:type="paragraph" w:styleId="47">
    <w:name w:val="List Paragraph"/>
    <w:basedOn w:val="1"/>
    <w:qFormat/>
    <w:uiPriority w:val="99"/>
    <w:rPr>
      <w:rFonts w:eastAsia="楷体"/>
      <w:color w:val="C00000"/>
      <w:u w:val="single"/>
    </w:rPr>
  </w:style>
  <w:style w:type="character" w:customStyle="1" w:styleId="48">
    <w:name w:val="未处理的提及1"/>
    <w:unhideWhenUsed/>
    <w:qFormat/>
    <w:uiPriority w:val="99"/>
    <w:rPr>
      <w:color w:val="605E5C"/>
      <w:shd w:val="clear" w:color="auto" w:fill="E1DFDD"/>
    </w:rPr>
  </w:style>
  <w:style w:type="paragraph" w:customStyle="1" w:styleId="49">
    <w:name w:val="说明"/>
    <w:basedOn w:val="1"/>
    <w:qFormat/>
    <w:uiPriority w:val="0"/>
    <w:pPr>
      <w:spacing w:before="120" w:afterLines="50" w:line="400" w:lineRule="exact"/>
      <w:ind w:firstLine="480"/>
    </w:pPr>
    <w:rPr>
      <w:rFonts w:eastAsia="楷体"/>
      <w:bCs/>
      <w:sz w:val="24"/>
      <w:szCs w:val="24"/>
    </w:rPr>
  </w:style>
  <w:style w:type="paragraph" w:customStyle="1" w:styleId="50">
    <w:name w:val="修订1"/>
    <w:semiHidden/>
    <w:qFormat/>
    <w:uiPriority w:val="99"/>
    <w:pPr>
      <w:spacing w:before="240" w:line="520" w:lineRule="exact"/>
      <w:ind w:firstLine="420"/>
    </w:pPr>
    <w:rPr>
      <w:rFonts w:ascii="Times New Roman" w:hAnsi="Times New Roman" w:eastAsia="仿宋" w:cs="Times New Roman"/>
      <w:sz w:val="24"/>
      <w:szCs w:val="24"/>
      <w:lang w:val="en-US" w:eastAsia="zh-CN" w:bidi="ar-SA"/>
    </w:rPr>
  </w:style>
  <w:style w:type="paragraph" w:customStyle="1" w:styleId="51">
    <w:name w:val="列表段落1"/>
    <w:basedOn w:val="1"/>
    <w:qFormat/>
    <w:uiPriority w:val="34"/>
    <w:pPr>
      <w:widowControl w:val="0"/>
      <w:overflowPunct w:val="0"/>
      <w:adjustRightInd w:val="0"/>
      <w:snapToGrid w:val="0"/>
      <w:spacing w:line="300" w:lineRule="auto"/>
    </w:pPr>
    <w:rPr>
      <w:rFonts w:ascii="仿宋" w:hAnsi="仿宋" w:cs="仿宋"/>
      <w:kern w:val="2"/>
      <w:szCs w:val="32"/>
    </w:rPr>
  </w:style>
  <w:style w:type="paragraph" w:customStyle="1" w:styleId="52">
    <w:name w:val="TOC 标题1"/>
    <w:basedOn w:val="3"/>
    <w:next w:val="1"/>
    <w:unhideWhenUsed/>
    <w:qFormat/>
    <w:uiPriority w:val="39"/>
    <w:pPr>
      <w:keepNext/>
      <w:keepLines/>
      <w:spacing w:before="240" w:after="0" w:line="259" w:lineRule="auto"/>
      <w:jc w:val="left"/>
      <w:outlineLvl w:val="9"/>
    </w:pPr>
    <w:rPr>
      <w:rFonts w:ascii="Cambria" w:hAnsi="Cambria" w:eastAsia="宋体" w:cs="Times New Roman"/>
      <w:color w:val="365F91"/>
      <w:kern w:val="0"/>
    </w:rPr>
  </w:style>
  <w:style w:type="character" w:customStyle="1" w:styleId="53">
    <w:name w:val="未处理的提及2"/>
    <w:unhideWhenUsed/>
    <w:qFormat/>
    <w:uiPriority w:val="99"/>
    <w:rPr>
      <w:color w:val="605E5C"/>
      <w:shd w:val="clear" w:color="auto" w:fill="E1DFDD"/>
    </w:rPr>
  </w:style>
  <w:style w:type="paragraph" w:customStyle="1" w:styleId="54">
    <w:name w:val="内容"/>
    <w:basedOn w:val="1"/>
    <w:qFormat/>
    <w:uiPriority w:val="0"/>
    <w:pPr>
      <w:spacing w:line="288" w:lineRule="auto"/>
      <w:ind w:firstLine="0" w:firstLineChars="0"/>
      <w:jc w:val="left"/>
    </w:pPr>
    <w:rPr>
      <w:rFonts w:eastAsia="宋体"/>
      <w:sz w:val="24"/>
      <w:szCs w:val="24"/>
    </w:rPr>
  </w:style>
  <w:style w:type="character" w:customStyle="1" w:styleId="55">
    <w:name w:val="未处理的提及3"/>
    <w:unhideWhenUsed/>
    <w:qFormat/>
    <w:uiPriority w:val="99"/>
    <w:rPr>
      <w:color w:val="605E5C"/>
      <w:shd w:val="clear" w:color="auto" w:fill="E1DFDD"/>
    </w:rPr>
  </w:style>
  <w:style w:type="paragraph" w:customStyle="1" w:styleId="56">
    <w:name w:val="修订2"/>
    <w:semiHidden/>
    <w:qFormat/>
    <w:uiPriority w:val="99"/>
    <w:rPr>
      <w:rFonts w:ascii="Times New Roman" w:hAnsi="Times New Roman" w:eastAsia="仿宋" w:cs="Times New Roman"/>
      <w:sz w:val="28"/>
      <w:szCs w:val="28"/>
      <w:lang w:val="en-US" w:eastAsia="zh-CN" w:bidi="ar-SA"/>
    </w:rPr>
  </w:style>
  <w:style w:type="paragraph" w:customStyle="1" w:styleId="57">
    <w:name w:val="TOC 标题2"/>
    <w:basedOn w:val="3"/>
    <w:next w:val="1"/>
    <w:unhideWhenUsed/>
    <w:qFormat/>
    <w:uiPriority w:val="39"/>
    <w:pPr>
      <w:keepNext/>
      <w:keepLines/>
      <w:spacing w:before="240" w:after="0" w:line="259" w:lineRule="auto"/>
      <w:jc w:val="left"/>
      <w:outlineLvl w:val="9"/>
    </w:pPr>
    <w:rPr>
      <w:rFonts w:ascii="Cambria" w:hAnsi="Cambria" w:eastAsia="宋体" w:cs="Times New Roman"/>
      <w:color w:val="365F91"/>
      <w:kern w:val="0"/>
    </w:rPr>
  </w:style>
  <w:style w:type="character" w:customStyle="1" w:styleId="58">
    <w:name w:val="未处理的提及4"/>
    <w:unhideWhenUsed/>
    <w:qFormat/>
    <w:uiPriority w:val="99"/>
    <w:rPr>
      <w:color w:val="605E5C"/>
      <w:shd w:val="clear" w:color="auto" w:fill="E1DFDD"/>
    </w:rPr>
  </w:style>
  <w:style w:type="paragraph" w:customStyle="1" w:styleId="59">
    <w:name w:val="目录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60">
    <w:name w:val="未处理的提及5"/>
    <w:unhideWhenUsed/>
    <w:qFormat/>
    <w:uiPriority w:val="99"/>
    <w:rPr>
      <w:color w:val="605E5C"/>
      <w:shd w:val="clear" w:color="auto" w:fill="E1DFDD"/>
    </w:rPr>
  </w:style>
  <w:style w:type="character" w:customStyle="1" w:styleId="61">
    <w:name w:val="未处理的提及6"/>
    <w:unhideWhenUsed/>
    <w:qFormat/>
    <w:uiPriority w:val="99"/>
    <w:rPr>
      <w:color w:val="605E5C"/>
      <w:shd w:val="clear" w:color="auto" w:fill="E1DFDD"/>
    </w:rPr>
  </w:style>
  <w:style w:type="character" w:customStyle="1" w:styleId="62">
    <w:name w:val="Unresolved Mention"/>
    <w:unhideWhenUsed/>
    <w:qFormat/>
    <w:uiPriority w:val="99"/>
    <w:rPr>
      <w:color w:val="605E5C"/>
      <w:shd w:val="clear" w:color="auto" w:fill="E1DFDD"/>
    </w:rPr>
  </w:style>
  <w:style w:type="paragraph" w:customStyle="1" w:styleId="63">
    <w:name w:val="修订3"/>
    <w:semiHidden/>
    <w:qFormat/>
    <w:uiPriority w:val="99"/>
    <w:rPr>
      <w:rFonts w:ascii="Times New Roman" w:hAnsi="Times New Roman" w:eastAsia="仿宋" w:cs="Times New Roman"/>
      <w:sz w:val="32"/>
      <w:szCs w:val="28"/>
      <w:lang w:val="en-US" w:eastAsia="zh-CN" w:bidi="ar-SA"/>
    </w:rPr>
  </w:style>
  <w:style w:type="character" w:customStyle="1" w:styleId="6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26</Pages>
  <Words>1895</Words>
  <Characters>10802</Characters>
  <Lines>90</Lines>
  <Paragraphs>25</Paragraphs>
  <TotalTime>178</TotalTime>
  <ScaleCrop>false</ScaleCrop>
  <LinksUpToDate>false</LinksUpToDate>
  <CharactersWithSpaces>12672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2022-06-06T14:07:00Z</dcterms:created>
  <dc:creator>Atopos</dc:creator>
  <cp:lastModifiedBy>uos</cp:lastModifiedBy>
  <cp:lastPrinted>2022-05-30T22:00:00Z</cp:lastPrinted>
  <dcterms:modified xsi:type="dcterms:W3CDTF">2022-06-07T18:24:53Z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EA69BC9167634FB0B593DFA85E85B8FD</vt:lpwstr>
  </property>
</Properties>
</file>