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98A" w:rsidRDefault="00B8698A" w:rsidP="00B8698A">
      <w:pPr>
        <w:rPr>
          <w:rFonts w:ascii="黑体" w:eastAsia="黑体" w:hAnsi="仿宋"/>
          <w:sz w:val="32"/>
          <w:szCs w:val="30"/>
        </w:rPr>
      </w:pPr>
      <w:r>
        <w:rPr>
          <w:rFonts w:ascii="黑体" w:eastAsia="黑体" w:hAnsi="仿宋" w:hint="eastAsia"/>
          <w:sz w:val="32"/>
          <w:szCs w:val="30"/>
        </w:rPr>
        <w:t>附件</w:t>
      </w:r>
      <w:r>
        <w:rPr>
          <w:rFonts w:ascii="黑体" w:eastAsia="黑体" w:hAnsi="仿宋"/>
          <w:sz w:val="32"/>
          <w:szCs w:val="30"/>
        </w:rPr>
        <w:t>2</w:t>
      </w:r>
    </w:p>
    <w:p w:rsidR="00B8698A" w:rsidRDefault="00B8698A" w:rsidP="00B8698A">
      <w:pPr>
        <w:adjustRightInd w:val="0"/>
        <w:snapToGrid w:val="0"/>
        <w:spacing w:beforeLines="100" w:before="240" w:afterLines="100" w:after="240" w:line="540" w:lineRule="exact"/>
        <w:jc w:val="center"/>
        <w:rPr>
          <w:rFonts w:ascii="宋体" w:hAnsi="宋体"/>
          <w:b/>
          <w:sz w:val="32"/>
          <w:szCs w:val="32"/>
        </w:rPr>
      </w:pPr>
      <w:bookmarkStart w:id="0" w:name="_Hlk6919931"/>
      <w:bookmarkStart w:id="1" w:name="_GoBack"/>
      <w:r>
        <w:rPr>
          <w:rFonts w:ascii="宋体" w:hAnsi="宋体" w:hint="eastAsia"/>
          <w:b/>
          <w:sz w:val="32"/>
          <w:szCs w:val="32"/>
        </w:rPr>
        <w:t>活动</w:t>
      </w:r>
      <w:r w:rsidRPr="009F6598">
        <w:rPr>
          <w:rFonts w:ascii="宋体" w:hAnsi="宋体" w:hint="eastAsia"/>
          <w:b/>
          <w:sz w:val="32"/>
          <w:szCs w:val="32"/>
        </w:rPr>
        <w:t>选题背景与调研要求</w:t>
      </w:r>
      <w:bookmarkEnd w:id="0"/>
      <w:bookmarkEnd w:id="1"/>
    </w:p>
    <w:p w:rsidR="00B8698A" w:rsidRPr="003E2902" w:rsidRDefault="00B8698A" w:rsidP="00B8698A">
      <w:pPr>
        <w:pStyle w:val="2"/>
        <w:spacing w:beforeLines="50" w:before="120" w:afterLines="50" w:after="120" w:line="240" w:lineRule="auto"/>
        <w:ind w:left="0"/>
      </w:pPr>
      <w:r>
        <w:rPr>
          <w:rFonts w:hint="eastAsia"/>
        </w:rPr>
        <w:t>相关背景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0"/>
        <w:jc w:val="both"/>
        <w:rPr>
          <w:rFonts w:ascii="仿宋" w:eastAsia="仿宋" w:hAnsi="仿宋"/>
          <w:sz w:val="30"/>
          <w:szCs w:val="30"/>
        </w:rPr>
      </w:pPr>
      <w:r w:rsidRPr="00F0285B">
        <w:rPr>
          <w:rFonts w:ascii="仿宋" w:eastAsia="仿宋" w:hAnsi="仿宋"/>
          <w:sz w:val="30"/>
          <w:szCs w:val="30"/>
        </w:rPr>
        <w:t>我国城市正处于从</w:t>
      </w:r>
      <w:r w:rsidRPr="00F0285B">
        <w:rPr>
          <w:rFonts w:ascii="仿宋" w:eastAsia="仿宋" w:hAnsi="仿宋" w:hint="eastAsia"/>
          <w:sz w:val="30"/>
          <w:szCs w:val="30"/>
        </w:rPr>
        <w:t>空间</w:t>
      </w:r>
      <w:r w:rsidRPr="00F0285B">
        <w:rPr>
          <w:rFonts w:ascii="仿宋" w:eastAsia="仿宋" w:hAnsi="仿宋"/>
          <w:sz w:val="30"/>
          <w:szCs w:val="30"/>
        </w:rPr>
        <w:t>扩张向</w:t>
      </w:r>
      <w:r w:rsidRPr="00F0285B">
        <w:rPr>
          <w:rFonts w:ascii="仿宋" w:eastAsia="仿宋" w:hAnsi="仿宋" w:hint="eastAsia"/>
          <w:sz w:val="30"/>
          <w:szCs w:val="30"/>
        </w:rPr>
        <w:t>内涵</w:t>
      </w:r>
      <w:r w:rsidRPr="00F0285B">
        <w:rPr>
          <w:rFonts w:ascii="仿宋" w:eastAsia="仿宋" w:hAnsi="仿宋"/>
          <w:sz w:val="30"/>
          <w:szCs w:val="30"/>
        </w:rPr>
        <w:t>发展的转型阶段</w:t>
      </w:r>
      <w:r w:rsidRPr="00F0285B">
        <w:rPr>
          <w:rFonts w:ascii="仿宋" w:eastAsia="仿宋" w:hAnsi="仿宋" w:hint="eastAsia"/>
          <w:sz w:val="30"/>
          <w:szCs w:val="30"/>
        </w:rPr>
        <w:t>，随着建设重心从增量空间转向存量空间，城乡规划面临更复杂的建设现状、更加多元的利益格局。另一方面，</w:t>
      </w:r>
      <w:r w:rsidRPr="00F0285B">
        <w:rPr>
          <w:rFonts w:ascii="仿宋" w:eastAsia="仿宋" w:hAnsi="仿宋"/>
          <w:sz w:val="30"/>
          <w:szCs w:val="30"/>
        </w:rPr>
        <w:t>经济的全球一体化导致城市的均质化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各地城市面临着如何恢复城市魅力与特色的挑战</w:t>
      </w:r>
      <w:r w:rsidRPr="00F0285B">
        <w:rPr>
          <w:rFonts w:ascii="仿宋" w:eastAsia="仿宋" w:hAnsi="仿宋" w:hint="eastAsia"/>
          <w:sz w:val="30"/>
          <w:szCs w:val="30"/>
        </w:rPr>
        <w:t>。这一时期，通过城市</w:t>
      </w:r>
      <w:r w:rsidRPr="00F0285B">
        <w:rPr>
          <w:rFonts w:ascii="仿宋" w:eastAsia="仿宋" w:hAnsi="仿宋"/>
          <w:sz w:val="30"/>
          <w:szCs w:val="30"/>
        </w:rPr>
        <w:t>历史风貌区的有效保护与活化再生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引领城市复兴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对推动城市内涵式发展</w:t>
      </w:r>
      <w:r w:rsidRPr="00F0285B">
        <w:rPr>
          <w:rFonts w:ascii="仿宋" w:eastAsia="仿宋" w:hAnsi="仿宋" w:hint="eastAsia"/>
          <w:sz w:val="30"/>
          <w:szCs w:val="30"/>
        </w:rPr>
        <w:t>、</w:t>
      </w:r>
      <w:r w:rsidRPr="00F0285B">
        <w:rPr>
          <w:rFonts w:ascii="仿宋" w:eastAsia="仿宋" w:hAnsi="仿宋"/>
          <w:sz w:val="30"/>
          <w:szCs w:val="30"/>
        </w:rPr>
        <w:t>提升城市竞争力具有重大意义</w:t>
      </w:r>
      <w:r w:rsidRPr="00F0285B">
        <w:rPr>
          <w:rFonts w:ascii="仿宋" w:eastAsia="仿宋" w:hAnsi="仿宋" w:hint="eastAsia"/>
          <w:sz w:val="30"/>
          <w:szCs w:val="30"/>
        </w:rPr>
        <w:t>。</w:t>
      </w:r>
      <w:r w:rsidRPr="00F0285B">
        <w:rPr>
          <w:rFonts w:ascii="仿宋" w:eastAsia="仿宋" w:hAnsi="仿宋"/>
          <w:sz w:val="30"/>
          <w:szCs w:val="30"/>
        </w:rPr>
        <w:t>因此</w:t>
      </w:r>
      <w:r w:rsidRPr="00F0285B">
        <w:rPr>
          <w:rFonts w:ascii="仿宋" w:eastAsia="仿宋" w:hAnsi="仿宋" w:hint="eastAsia"/>
          <w:sz w:val="30"/>
          <w:szCs w:val="30"/>
        </w:rPr>
        <w:t>，保护和传承</w:t>
      </w:r>
      <w:r w:rsidRPr="00F0285B">
        <w:rPr>
          <w:rFonts w:ascii="仿宋" w:eastAsia="仿宋" w:hAnsi="仿宋"/>
          <w:sz w:val="30"/>
          <w:szCs w:val="30"/>
        </w:rPr>
        <w:t>地区历史文脉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提升</w:t>
      </w:r>
      <w:r w:rsidRPr="00F0285B">
        <w:rPr>
          <w:rFonts w:ascii="仿宋" w:eastAsia="仿宋" w:hAnsi="仿宋" w:hint="eastAsia"/>
          <w:sz w:val="30"/>
          <w:szCs w:val="30"/>
        </w:rPr>
        <w:t>地区</w:t>
      </w:r>
      <w:r w:rsidRPr="00F0285B">
        <w:rPr>
          <w:rFonts w:ascii="仿宋" w:eastAsia="仿宋" w:hAnsi="仿宋"/>
          <w:sz w:val="30"/>
          <w:szCs w:val="30"/>
        </w:rPr>
        <w:t>公共空间品质</w:t>
      </w:r>
      <w:r w:rsidRPr="00F0285B">
        <w:rPr>
          <w:rFonts w:ascii="仿宋" w:eastAsia="仿宋" w:hAnsi="仿宋" w:hint="eastAsia"/>
          <w:sz w:val="30"/>
          <w:szCs w:val="30"/>
        </w:rPr>
        <w:t>，进而</w:t>
      </w:r>
      <w:r w:rsidRPr="00F0285B">
        <w:rPr>
          <w:rFonts w:ascii="仿宋" w:eastAsia="仿宋" w:hAnsi="仿宋"/>
          <w:sz w:val="30"/>
          <w:szCs w:val="30"/>
        </w:rPr>
        <w:t>塑造城市特色和核心竞争力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成为了城乡规划领域亟待研究的课题</w:t>
      </w:r>
      <w:r w:rsidRPr="00F0285B">
        <w:rPr>
          <w:rFonts w:ascii="仿宋" w:eastAsia="仿宋" w:hAnsi="仿宋" w:hint="eastAsia"/>
          <w:sz w:val="30"/>
          <w:szCs w:val="30"/>
        </w:rPr>
        <w:t>。</w:t>
      </w:r>
    </w:p>
    <w:p w:rsidR="00B8698A" w:rsidRDefault="00B8698A" w:rsidP="00B8698A">
      <w:pPr>
        <w:adjustRightInd w:val="0"/>
        <w:snapToGrid w:val="0"/>
        <w:spacing w:line="600" w:lineRule="exact"/>
        <w:ind w:firstLineChars="200" w:firstLine="600"/>
        <w:jc w:val="both"/>
        <w:rPr>
          <w:rFonts w:ascii="仿宋" w:eastAsia="仿宋" w:hAnsi="仿宋"/>
          <w:sz w:val="30"/>
          <w:szCs w:val="30"/>
        </w:rPr>
      </w:pPr>
      <w:r w:rsidRPr="00F0285B">
        <w:rPr>
          <w:rFonts w:ascii="仿宋" w:eastAsia="仿宋" w:hAnsi="仿宋" w:hint="eastAsia"/>
          <w:sz w:val="30"/>
          <w:szCs w:val="30"/>
        </w:rPr>
        <w:t>天津地处我国华北地区，是环渤海地区经济中心、超大城市。</w:t>
      </w:r>
      <w:r w:rsidRPr="00F0285B">
        <w:rPr>
          <w:rFonts w:ascii="仿宋" w:eastAsia="仿宋" w:hAnsi="仿宋"/>
          <w:sz w:val="30"/>
          <w:szCs w:val="30"/>
        </w:rPr>
        <w:t>天津自古因运河而兴盛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因</w:t>
      </w:r>
      <w:hyperlink r:id="rId5" w:tgtFrame="_blank" w:history="1">
        <w:r w:rsidRPr="00F0285B">
          <w:rPr>
            <w:rFonts w:ascii="仿宋" w:eastAsia="仿宋" w:hAnsi="仿宋"/>
            <w:sz w:val="30"/>
            <w:szCs w:val="30"/>
          </w:rPr>
          <w:t>漕运</w:t>
        </w:r>
      </w:hyperlink>
      <w:r w:rsidRPr="00F0285B">
        <w:rPr>
          <w:rFonts w:ascii="仿宋" w:eastAsia="仿宋" w:hAnsi="仿宋"/>
          <w:sz w:val="30"/>
          <w:szCs w:val="30"/>
        </w:rPr>
        <w:t>而</w:t>
      </w:r>
      <w:r w:rsidRPr="00F0285B">
        <w:rPr>
          <w:rFonts w:ascii="仿宋" w:eastAsia="仿宋" w:hAnsi="仿宋" w:hint="eastAsia"/>
          <w:sz w:val="30"/>
          <w:szCs w:val="30"/>
        </w:rPr>
        <w:t>繁荣。</w:t>
      </w:r>
      <w:r w:rsidRPr="00F0285B">
        <w:rPr>
          <w:rFonts w:ascii="仿宋" w:eastAsia="仿宋" w:hAnsi="仿宋"/>
          <w:sz w:val="30"/>
          <w:szCs w:val="30"/>
        </w:rPr>
        <w:t>海河、北运河和南运河在天津交汇，形成三岔口</w:t>
      </w:r>
      <w:r w:rsidRPr="00F0285B">
        <w:rPr>
          <w:rFonts w:ascii="仿宋" w:eastAsia="仿宋" w:hAnsi="仿宋" w:hint="eastAsia"/>
          <w:sz w:val="30"/>
          <w:szCs w:val="30"/>
        </w:rPr>
        <w:t>。</w:t>
      </w:r>
      <w:r w:rsidRPr="00F0285B">
        <w:rPr>
          <w:rFonts w:ascii="仿宋" w:eastAsia="仿宋" w:hAnsi="仿宋"/>
          <w:sz w:val="30"/>
          <w:szCs w:val="30"/>
        </w:rPr>
        <w:t>漕运枢纽三岔口发展</w:t>
      </w:r>
      <w:r w:rsidRPr="00F0285B">
        <w:rPr>
          <w:rFonts w:ascii="仿宋" w:eastAsia="仿宋" w:hAnsi="仿宋" w:hint="eastAsia"/>
          <w:sz w:val="30"/>
          <w:szCs w:val="30"/>
        </w:rPr>
        <w:t>成为</w:t>
      </w:r>
      <w:r w:rsidRPr="00F0285B">
        <w:rPr>
          <w:rFonts w:ascii="仿宋" w:eastAsia="仿宋" w:hAnsi="仿宋"/>
          <w:sz w:val="30"/>
          <w:szCs w:val="30"/>
        </w:rPr>
        <w:t>了商业集散地和水陆码头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因而也使得天津卫成为了北方重要的商贸重镇</w:t>
      </w:r>
      <w:r w:rsidRPr="00F0285B">
        <w:rPr>
          <w:rFonts w:ascii="仿宋" w:eastAsia="仿宋" w:hAnsi="仿宋" w:hint="eastAsia"/>
          <w:sz w:val="30"/>
          <w:szCs w:val="30"/>
        </w:rPr>
        <w:t>。</w:t>
      </w:r>
      <w:r w:rsidRPr="00F0285B">
        <w:rPr>
          <w:rFonts w:ascii="仿宋" w:eastAsia="仿宋" w:hAnsi="仿宋"/>
          <w:sz w:val="30"/>
          <w:szCs w:val="30"/>
        </w:rPr>
        <w:t>人们俗称“先有三岔口，后又天津卫”</w:t>
      </w:r>
      <w:r w:rsidRPr="00F0285B">
        <w:rPr>
          <w:rFonts w:ascii="仿宋" w:eastAsia="仿宋" w:hAnsi="仿宋" w:hint="eastAsia"/>
          <w:sz w:val="30"/>
          <w:szCs w:val="30"/>
        </w:rPr>
        <w:t>，可见</w:t>
      </w:r>
      <w:r w:rsidRPr="00F0285B">
        <w:rPr>
          <w:rFonts w:ascii="仿宋" w:eastAsia="仿宋" w:hAnsi="仿宋"/>
          <w:sz w:val="30"/>
          <w:szCs w:val="30"/>
        </w:rPr>
        <w:t>三岔口</w:t>
      </w:r>
      <w:r w:rsidRPr="00F0285B">
        <w:rPr>
          <w:rFonts w:ascii="仿宋" w:eastAsia="仿宋" w:hAnsi="仿宋" w:hint="eastAsia"/>
          <w:sz w:val="30"/>
          <w:szCs w:val="30"/>
        </w:rPr>
        <w:t>是天津卫</w:t>
      </w:r>
      <w:r w:rsidRPr="00F0285B">
        <w:rPr>
          <w:rFonts w:ascii="仿宋" w:eastAsia="仿宋" w:hAnsi="仿宋"/>
          <w:sz w:val="30"/>
          <w:szCs w:val="30"/>
        </w:rPr>
        <w:t>发展的历史见证，被誉为“天津摇篮”</w:t>
      </w:r>
      <w:r w:rsidRPr="00F0285B">
        <w:rPr>
          <w:rFonts w:ascii="仿宋" w:eastAsia="仿宋" w:hAnsi="仿宋" w:hint="eastAsia"/>
          <w:sz w:val="30"/>
          <w:szCs w:val="30"/>
        </w:rPr>
        <w:t>。三岔口地区的更新与提升，对于重塑天津卫具有重要的空间、历史和精神意义。</w:t>
      </w:r>
    </w:p>
    <w:p w:rsidR="00B8698A" w:rsidRDefault="00B8698A" w:rsidP="00B8698A">
      <w:r>
        <w:rPr>
          <w:rFonts w:hint="eastAsia"/>
          <w:noProof/>
        </w:rPr>
        <w:lastRenderedPageBreak/>
        <w:drawing>
          <wp:inline distT="0" distB="0" distL="0" distR="0" wp14:anchorId="2AA13FD9" wp14:editId="071B298C">
            <wp:extent cx="5274310" cy="5274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1080907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8A" w:rsidRPr="00D84C46" w:rsidRDefault="00B8698A" w:rsidP="00B8698A">
      <w:pPr>
        <w:jc w:val="center"/>
        <w:rPr>
          <w:b/>
        </w:rPr>
      </w:pPr>
      <w:r w:rsidRPr="00D84C46">
        <w:rPr>
          <w:rFonts w:hint="eastAsia"/>
          <w:b/>
        </w:rPr>
        <w:t>图</w:t>
      </w:r>
      <w:r w:rsidRPr="00D84C46">
        <w:rPr>
          <w:rFonts w:hint="eastAsia"/>
          <w:b/>
        </w:rPr>
        <w:t xml:space="preserve">1 </w:t>
      </w:r>
      <w:r w:rsidRPr="00D84C46">
        <w:rPr>
          <w:rFonts w:hint="eastAsia"/>
          <w:b/>
        </w:rPr>
        <w:t>基地区位示意图</w:t>
      </w:r>
    </w:p>
    <w:p w:rsidR="00B8698A" w:rsidRPr="00237743" w:rsidRDefault="00B8698A" w:rsidP="00B8698A">
      <w:pPr>
        <w:pStyle w:val="2"/>
        <w:spacing w:beforeLines="50" w:before="120" w:afterLines="50" w:after="120" w:line="240" w:lineRule="auto"/>
        <w:ind w:left="0"/>
      </w:pPr>
      <w:r>
        <w:rPr>
          <w:rFonts w:hint="eastAsia"/>
        </w:rPr>
        <w:t>基地解析与设计</w:t>
      </w:r>
      <w:r>
        <w:t>立意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0"/>
        <w:jc w:val="both"/>
        <w:rPr>
          <w:rFonts w:ascii="仿宋" w:eastAsia="仿宋" w:hAnsi="仿宋"/>
          <w:sz w:val="30"/>
          <w:szCs w:val="30"/>
        </w:rPr>
      </w:pPr>
      <w:r w:rsidRPr="00F0285B">
        <w:rPr>
          <w:rFonts w:ascii="仿宋" w:eastAsia="仿宋" w:hAnsi="仿宋"/>
          <w:sz w:val="30"/>
          <w:szCs w:val="30"/>
        </w:rPr>
        <w:t>本届西部之光大学生暑期规划设计</w:t>
      </w:r>
      <w:r>
        <w:rPr>
          <w:rFonts w:ascii="仿宋" w:eastAsia="仿宋" w:hAnsi="仿宋" w:hint="eastAsia"/>
          <w:sz w:val="30"/>
          <w:szCs w:val="30"/>
        </w:rPr>
        <w:t>交流活动</w:t>
      </w:r>
      <w:r w:rsidRPr="00F0285B">
        <w:rPr>
          <w:rFonts w:ascii="仿宋" w:eastAsia="仿宋" w:hAnsi="仿宋"/>
          <w:sz w:val="30"/>
          <w:szCs w:val="30"/>
        </w:rPr>
        <w:t>的基地</w:t>
      </w:r>
      <w:r w:rsidRPr="00F0285B">
        <w:rPr>
          <w:rFonts w:ascii="仿宋" w:eastAsia="仿宋" w:hAnsi="仿宋" w:hint="eastAsia"/>
          <w:sz w:val="30"/>
          <w:szCs w:val="30"/>
        </w:rPr>
        <w:t>选址</w:t>
      </w:r>
      <w:r w:rsidRPr="00F0285B">
        <w:rPr>
          <w:rFonts w:ascii="仿宋" w:eastAsia="仿宋" w:hAnsi="仿宋"/>
          <w:sz w:val="30"/>
          <w:szCs w:val="30"/>
        </w:rPr>
        <w:t>天津市三岔口</w:t>
      </w:r>
      <w:r w:rsidRPr="00F0285B">
        <w:rPr>
          <w:rFonts w:ascii="仿宋" w:eastAsia="仿宋" w:hAnsi="仿宋" w:hint="eastAsia"/>
          <w:sz w:val="30"/>
          <w:szCs w:val="30"/>
        </w:rPr>
        <w:t>，位于</w:t>
      </w:r>
      <w:r w:rsidRPr="00F0285B">
        <w:rPr>
          <w:rFonts w:ascii="仿宋" w:eastAsia="仿宋" w:hAnsi="仿宋"/>
          <w:sz w:val="30"/>
          <w:szCs w:val="30"/>
        </w:rPr>
        <w:t>中心城区红桥区和河北区交接</w:t>
      </w:r>
      <w:r w:rsidRPr="00F0285B">
        <w:rPr>
          <w:rFonts w:ascii="仿宋" w:eastAsia="仿宋" w:hAnsi="仿宋" w:hint="eastAsia"/>
          <w:sz w:val="30"/>
          <w:szCs w:val="30"/>
        </w:rPr>
        <w:t>处，</w:t>
      </w:r>
      <w:r w:rsidRPr="00F0285B">
        <w:rPr>
          <w:rFonts w:ascii="仿宋" w:eastAsia="仿宋" w:hAnsi="仿宋"/>
          <w:sz w:val="30"/>
          <w:szCs w:val="30"/>
        </w:rPr>
        <w:t>海河、北运河和南运河</w:t>
      </w:r>
      <w:r w:rsidRPr="00F0285B">
        <w:rPr>
          <w:rFonts w:ascii="仿宋" w:eastAsia="仿宋" w:hAnsi="仿宋" w:hint="eastAsia"/>
          <w:sz w:val="30"/>
          <w:szCs w:val="30"/>
        </w:rPr>
        <w:t>在此交汇，独特的地理位置造就了基地复杂、多元、富有活力的城市空间景观。基地是天津历史上重要的水运码头、商贸集散地，被誉为“天津卫的摇篮”，历史文化元素丰富；毗邻天津市“网红”旅游景点“天津之眼”，访客群体密集；基地内部</w:t>
      </w:r>
      <w:r w:rsidRPr="00F0285B">
        <w:rPr>
          <w:rFonts w:ascii="仿宋" w:eastAsia="仿宋" w:hAnsi="仿宋"/>
          <w:sz w:val="30"/>
          <w:szCs w:val="30"/>
        </w:rPr>
        <w:t>拥有</w:t>
      </w:r>
      <w:r w:rsidRPr="00F0285B">
        <w:rPr>
          <w:rFonts w:ascii="仿宋" w:eastAsia="仿宋" w:hAnsi="仿宋" w:hint="eastAsia"/>
          <w:sz w:val="30"/>
          <w:szCs w:val="30"/>
        </w:rPr>
        <w:t>600余年历史的</w:t>
      </w:r>
      <w:r w:rsidRPr="00F0285B">
        <w:rPr>
          <w:rFonts w:ascii="仿宋" w:eastAsia="仿宋" w:hAnsi="仿宋"/>
          <w:sz w:val="30"/>
          <w:szCs w:val="30"/>
        </w:rPr>
        <w:t>商业街</w:t>
      </w:r>
      <w:r w:rsidRPr="00F0285B">
        <w:rPr>
          <w:rFonts w:ascii="仿宋" w:eastAsia="仿宋" w:hAnsi="仿宋" w:hint="eastAsia"/>
          <w:sz w:val="30"/>
          <w:szCs w:val="30"/>
        </w:rPr>
        <w:t>估衣街、天津市文物保护单位和特殊保护等级历史风貌建筑大悲禅院、天津美术学院、商贸批发市场、老旧社区、新建商品房社区等现状要素；同时，基地周边</w:t>
      </w:r>
      <w:r w:rsidRPr="00F0285B">
        <w:rPr>
          <w:rFonts w:ascii="仿宋" w:eastAsia="仿宋" w:hAnsi="仿宋" w:hint="eastAsia"/>
          <w:sz w:val="30"/>
          <w:szCs w:val="30"/>
        </w:rPr>
        <w:lastRenderedPageBreak/>
        <w:t>拟建轨道交通站点（轨道交通4号线东北角站、轨道交通12号线北马路站、轨道交通7号线黄纬路站）。目前，三岔口地区已经纳入国家大运河遗产保护规划的范围。近年来，随着天津市城市更新战略的推进，该地区的更新改造正逐步实施。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0"/>
        <w:jc w:val="both"/>
        <w:rPr>
          <w:rFonts w:ascii="仿宋" w:eastAsia="仿宋" w:hAnsi="仿宋"/>
          <w:sz w:val="30"/>
          <w:szCs w:val="30"/>
        </w:rPr>
      </w:pPr>
      <w:r w:rsidRPr="00F0285B">
        <w:rPr>
          <w:rFonts w:ascii="仿宋" w:eastAsia="仿宋" w:hAnsi="仿宋"/>
          <w:sz w:val="30"/>
          <w:szCs w:val="30"/>
        </w:rPr>
        <w:t>本届西部之光大学生暑期规划设计</w:t>
      </w:r>
      <w:r>
        <w:rPr>
          <w:rFonts w:ascii="仿宋" w:eastAsia="仿宋" w:hAnsi="仿宋" w:hint="eastAsia"/>
          <w:sz w:val="30"/>
          <w:szCs w:val="30"/>
        </w:rPr>
        <w:t>交流活动</w:t>
      </w:r>
      <w:r w:rsidRPr="00F0285B">
        <w:rPr>
          <w:rFonts w:ascii="仿宋" w:eastAsia="仿宋" w:hAnsi="仿宋"/>
          <w:sz w:val="30"/>
          <w:szCs w:val="30"/>
        </w:rPr>
        <w:t>的立意包括但不限于</w:t>
      </w:r>
      <w:r w:rsidRPr="00F0285B">
        <w:rPr>
          <w:rFonts w:ascii="仿宋" w:eastAsia="仿宋" w:hAnsi="仿宋" w:hint="eastAsia"/>
          <w:sz w:val="30"/>
          <w:szCs w:val="30"/>
        </w:rPr>
        <w:t>：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2"/>
        <w:jc w:val="both"/>
        <w:rPr>
          <w:rFonts w:ascii="仿宋" w:eastAsia="仿宋" w:hAnsi="仿宋"/>
          <w:sz w:val="30"/>
          <w:szCs w:val="30"/>
        </w:rPr>
      </w:pPr>
      <w:r w:rsidRPr="00055D53">
        <w:rPr>
          <w:rFonts w:ascii="仿宋" w:eastAsia="仿宋" w:hAnsi="仿宋" w:hint="eastAsia"/>
          <w:b/>
          <w:bCs/>
          <w:sz w:val="30"/>
          <w:szCs w:val="30"/>
        </w:rPr>
        <w:t>（1）挖掘以</w:t>
      </w:r>
      <w:r w:rsidRPr="00055D53">
        <w:rPr>
          <w:rFonts w:ascii="仿宋" w:eastAsia="仿宋" w:hAnsi="仿宋"/>
          <w:b/>
          <w:bCs/>
          <w:sz w:val="30"/>
          <w:szCs w:val="30"/>
        </w:rPr>
        <w:t>运河文化为代表的历史文化资源</w:t>
      </w:r>
      <w:r w:rsidRPr="00055D53">
        <w:rPr>
          <w:rFonts w:ascii="仿宋" w:eastAsia="仿宋" w:hAnsi="仿宋" w:hint="eastAsia"/>
          <w:b/>
          <w:bCs/>
          <w:sz w:val="30"/>
          <w:szCs w:val="30"/>
        </w:rPr>
        <w:t>，</w:t>
      </w:r>
      <w:r w:rsidRPr="00055D53">
        <w:rPr>
          <w:rFonts w:ascii="仿宋" w:eastAsia="仿宋" w:hAnsi="仿宋"/>
          <w:b/>
          <w:bCs/>
          <w:sz w:val="30"/>
          <w:szCs w:val="30"/>
        </w:rPr>
        <w:t>协调好保护传承与开发利用间的关系</w:t>
      </w:r>
      <w:r w:rsidRPr="00055D53">
        <w:rPr>
          <w:rFonts w:ascii="仿宋" w:eastAsia="仿宋" w:hAnsi="仿宋" w:hint="eastAsia"/>
          <w:b/>
          <w:bCs/>
          <w:sz w:val="30"/>
          <w:szCs w:val="30"/>
        </w:rPr>
        <w:t>。</w:t>
      </w:r>
      <w:r w:rsidRPr="00F0285B">
        <w:rPr>
          <w:rFonts w:ascii="仿宋" w:eastAsia="仿宋" w:hAnsi="仿宋" w:hint="eastAsia"/>
          <w:sz w:val="30"/>
          <w:szCs w:val="30"/>
        </w:rPr>
        <w:t>大运河始建于公元前486年，是世界上开凿时间较早、规模最大、线路最长的人工运河，在维护国家统一、繁荣社会经济、促进文化交流、兴盛沿线城市等方面发挥了不可磨灭的作用。2014年大运河获准列入世界遗产名录；2019年国务院印发了《长城、大运河、长征国家文化公园建设方案》，提出保护传承和合理利用大运河沿线一系列的文物和文化资源。建议深入挖掘大运河的历史文化价值，梳理运河与天津城市发展间的时空演化机理，促进三岔口地区运河历史文化遗产的保护传承与可持续开发利用。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2"/>
        <w:jc w:val="both"/>
        <w:rPr>
          <w:rFonts w:ascii="仿宋" w:eastAsia="仿宋" w:hAnsi="仿宋"/>
          <w:sz w:val="30"/>
          <w:szCs w:val="30"/>
        </w:rPr>
      </w:pPr>
      <w:r w:rsidRPr="00055D53">
        <w:rPr>
          <w:rFonts w:ascii="仿宋" w:eastAsia="仿宋" w:hAnsi="仿宋" w:hint="eastAsia"/>
          <w:b/>
          <w:bCs/>
          <w:sz w:val="30"/>
          <w:szCs w:val="30"/>
        </w:rPr>
        <w:t>（2）梳理水体在城市空间组织中的作用，重塑城市滨水地区空间特色。</w:t>
      </w:r>
      <w:r w:rsidRPr="00F0285B">
        <w:rPr>
          <w:rFonts w:ascii="仿宋" w:eastAsia="仿宋" w:hAnsi="仿宋" w:hint="eastAsia"/>
          <w:sz w:val="30"/>
          <w:szCs w:val="30"/>
        </w:rPr>
        <w:t>城市滨水是古代城市选址的重要条件之一。漕运时代下，天津卫依托运河资源，发展成为了中国北方地区的重要商贸中心，塑造了三岔口地区依托水运为主的城市空间特色。</w:t>
      </w:r>
      <w:r w:rsidRPr="00F0285B">
        <w:rPr>
          <w:rFonts w:ascii="仿宋" w:eastAsia="仿宋" w:hAnsi="仿宋"/>
          <w:sz w:val="30"/>
          <w:szCs w:val="30"/>
        </w:rPr>
        <w:t>当今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随着运河</w:t>
      </w:r>
      <w:r w:rsidRPr="00F0285B">
        <w:rPr>
          <w:rFonts w:ascii="仿宋" w:eastAsia="仿宋" w:hAnsi="仿宋" w:hint="eastAsia"/>
          <w:sz w:val="30"/>
          <w:szCs w:val="30"/>
        </w:rPr>
        <w:t>水运</w:t>
      </w:r>
      <w:r w:rsidRPr="00F0285B">
        <w:rPr>
          <w:rFonts w:ascii="仿宋" w:eastAsia="仿宋" w:hAnsi="仿宋"/>
          <w:sz w:val="30"/>
          <w:szCs w:val="30"/>
        </w:rPr>
        <w:t>职能的减弱</w:t>
      </w:r>
      <w:r w:rsidRPr="00F0285B">
        <w:rPr>
          <w:rFonts w:ascii="仿宋" w:eastAsia="仿宋" w:hAnsi="仿宋" w:hint="eastAsia"/>
          <w:sz w:val="30"/>
          <w:szCs w:val="30"/>
        </w:rPr>
        <w:t>，其</w:t>
      </w:r>
      <w:r w:rsidRPr="00F0285B">
        <w:rPr>
          <w:rFonts w:ascii="仿宋" w:eastAsia="仿宋" w:hAnsi="仿宋"/>
          <w:sz w:val="30"/>
          <w:szCs w:val="30"/>
        </w:rPr>
        <w:t>在景观生态</w:t>
      </w:r>
      <w:r w:rsidRPr="00F0285B">
        <w:rPr>
          <w:rFonts w:ascii="仿宋" w:eastAsia="仿宋" w:hAnsi="仿宋" w:hint="eastAsia"/>
          <w:sz w:val="30"/>
          <w:szCs w:val="30"/>
        </w:rPr>
        <w:t>、</w:t>
      </w:r>
      <w:r w:rsidRPr="00F0285B">
        <w:rPr>
          <w:rFonts w:ascii="仿宋" w:eastAsia="仿宋" w:hAnsi="仿宋"/>
          <w:sz w:val="30"/>
          <w:szCs w:val="30"/>
        </w:rPr>
        <w:t>休闲游憩方面的</w:t>
      </w:r>
      <w:r w:rsidRPr="00F0285B">
        <w:rPr>
          <w:rFonts w:ascii="仿宋" w:eastAsia="仿宋" w:hAnsi="仿宋" w:hint="eastAsia"/>
          <w:sz w:val="30"/>
          <w:szCs w:val="30"/>
        </w:rPr>
        <w:t>功能</w:t>
      </w:r>
      <w:r w:rsidRPr="00F0285B">
        <w:rPr>
          <w:rFonts w:ascii="仿宋" w:eastAsia="仿宋" w:hAnsi="仿宋"/>
          <w:sz w:val="30"/>
          <w:szCs w:val="30"/>
        </w:rPr>
        <w:t>愈发重要</w:t>
      </w:r>
      <w:r w:rsidRPr="00F0285B">
        <w:rPr>
          <w:rFonts w:ascii="仿宋" w:eastAsia="仿宋" w:hAnsi="仿宋" w:hint="eastAsia"/>
          <w:sz w:val="30"/>
          <w:szCs w:val="30"/>
        </w:rPr>
        <w:t>。建议梳理不同历史阶段运河</w:t>
      </w:r>
      <w:r w:rsidRPr="00F0285B">
        <w:rPr>
          <w:rFonts w:ascii="仿宋" w:eastAsia="仿宋" w:hAnsi="仿宋"/>
          <w:sz w:val="30"/>
          <w:szCs w:val="30"/>
        </w:rPr>
        <w:t>与城市空间结构和土地利用形态的关联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/>
          <w:sz w:val="30"/>
          <w:szCs w:val="30"/>
        </w:rPr>
        <w:t>充分利用</w:t>
      </w:r>
      <w:r w:rsidRPr="00F0285B">
        <w:rPr>
          <w:rFonts w:ascii="仿宋" w:eastAsia="仿宋" w:hAnsi="仿宋" w:hint="eastAsia"/>
          <w:sz w:val="30"/>
          <w:szCs w:val="30"/>
        </w:rPr>
        <w:t>运河</w:t>
      </w:r>
      <w:r w:rsidRPr="00F0285B">
        <w:rPr>
          <w:rFonts w:ascii="仿宋" w:eastAsia="仿宋" w:hAnsi="仿宋"/>
          <w:sz w:val="30"/>
          <w:szCs w:val="30"/>
        </w:rPr>
        <w:t>在文化</w:t>
      </w:r>
      <w:r w:rsidRPr="00F0285B">
        <w:rPr>
          <w:rFonts w:ascii="仿宋" w:eastAsia="仿宋" w:hAnsi="仿宋" w:hint="eastAsia"/>
          <w:sz w:val="30"/>
          <w:szCs w:val="30"/>
        </w:rPr>
        <w:t>、</w:t>
      </w:r>
      <w:r w:rsidRPr="00F0285B">
        <w:rPr>
          <w:rFonts w:ascii="仿宋" w:eastAsia="仿宋" w:hAnsi="仿宋"/>
          <w:sz w:val="30"/>
          <w:szCs w:val="30"/>
        </w:rPr>
        <w:t>景观</w:t>
      </w:r>
      <w:r w:rsidRPr="00F0285B">
        <w:rPr>
          <w:rFonts w:ascii="仿宋" w:eastAsia="仿宋" w:hAnsi="仿宋" w:hint="eastAsia"/>
          <w:sz w:val="30"/>
          <w:szCs w:val="30"/>
        </w:rPr>
        <w:t>、</w:t>
      </w:r>
      <w:r w:rsidRPr="00F0285B">
        <w:rPr>
          <w:rFonts w:ascii="仿宋" w:eastAsia="仿宋" w:hAnsi="仿宋"/>
          <w:sz w:val="30"/>
          <w:szCs w:val="30"/>
        </w:rPr>
        <w:t>生态方面的资源</w:t>
      </w:r>
      <w:r w:rsidRPr="00F0285B">
        <w:rPr>
          <w:rFonts w:ascii="仿宋" w:eastAsia="仿宋" w:hAnsi="仿宋" w:hint="eastAsia"/>
          <w:sz w:val="30"/>
          <w:szCs w:val="30"/>
        </w:rPr>
        <w:t>，</w:t>
      </w:r>
      <w:r w:rsidRPr="00F0285B">
        <w:rPr>
          <w:rFonts w:ascii="仿宋" w:eastAsia="仿宋" w:hAnsi="仿宋" w:hint="eastAsia"/>
          <w:sz w:val="30"/>
          <w:szCs w:val="30"/>
        </w:rPr>
        <w:lastRenderedPageBreak/>
        <w:t>协调好城市与运河的景观和空间关系，</w:t>
      </w:r>
      <w:r w:rsidRPr="00F0285B">
        <w:rPr>
          <w:rFonts w:ascii="仿宋" w:eastAsia="仿宋" w:hAnsi="仿宋"/>
          <w:sz w:val="30"/>
          <w:szCs w:val="30"/>
        </w:rPr>
        <w:t>重塑城市滨水地区的地域特色</w:t>
      </w:r>
      <w:r w:rsidRPr="00F0285B">
        <w:rPr>
          <w:rFonts w:ascii="仿宋" w:eastAsia="仿宋" w:hAnsi="仿宋" w:hint="eastAsia"/>
          <w:sz w:val="30"/>
          <w:szCs w:val="30"/>
        </w:rPr>
        <w:t>。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2"/>
        <w:jc w:val="both"/>
        <w:rPr>
          <w:rFonts w:ascii="仿宋" w:eastAsia="仿宋" w:hAnsi="仿宋"/>
          <w:sz w:val="30"/>
          <w:szCs w:val="30"/>
        </w:rPr>
      </w:pPr>
      <w:r w:rsidRPr="00055D53">
        <w:rPr>
          <w:rFonts w:ascii="仿宋" w:eastAsia="仿宋" w:hAnsi="仿宋" w:hint="eastAsia"/>
          <w:b/>
          <w:bCs/>
          <w:sz w:val="30"/>
          <w:szCs w:val="30"/>
        </w:rPr>
        <w:t>（3）研究可持续交通和城市发展的关联，结合轨道交通站点，探索城市空间组织和土地开发模式。</w:t>
      </w:r>
      <w:r w:rsidRPr="00F0285B">
        <w:rPr>
          <w:rFonts w:ascii="仿宋" w:eastAsia="仿宋" w:hAnsi="仿宋" w:hint="eastAsia"/>
          <w:sz w:val="30"/>
          <w:szCs w:val="30"/>
        </w:rPr>
        <w:t>目前，天津市进入了轨道交通发展的繁荣时期，轨道交通4号线、7号线和12号线拟在基地周边设站。轨道交通站点的开通，将改善三岔口地区的交通便利性，带来土地和物业价值的提升。以公共交通引导城市发展（TOD）的模式，也将深刻影响人口稠密的老城地区的空间结构和土地利用特征。建议分析轨道交通站点对城市空间结构和土地价值的影响，研究轨道交通时代下三岔口地区在全市和片区层面的功能定位，综合分析社会经济效益和资金平衡，提出更新改造策略。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2"/>
        <w:jc w:val="both"/>
        <w:rPr>
          <w:rFonts w:ascii="仿宋" w:eastAsia="仿宋" w:hAnsi="仿宋"/>
          <w:sz w:val="30"/>
          <w:szCs w:val="30"/>
        </w:rPr>
      </w:pPr>
      <w:r w:rsidRPr="00055D53">
        <w:rPr>
          <w:rFonts w:ascii="仿宋" w:eastAsia="仿宋" w:hAnsi="仿宋" w:hint="eastAsia"/>
          <w:b/>
          <w:bCs/>
          <w:sz w:val="30"/>
          <w:szCs w:val="30"/>
        </w:rPr>
        <w:t>（4）发掘和重塑地区魅力，助力天津构建“全球创意城市”。</w:t>
      </w:r>
      <w:r w:rsidRPr="00F0285B">
        <w:rPr>
          <w:rFonts w:ascii="仿宋" w:eastAsia="仿宋" w:hAnsi="仿宋" w:hint="eastAsia"/>
          <w:sz w:val="30"/>
          <w:szCs w:val="30"/>
        </w:rPr>
        <w:t>全球范围内，城市发展模式在过去的二三十年间发生了深刻变化，传统的工业城市正向以知识化、信息化和全球化为特征的新城市经济模式转型。在全球化浪潮的席卷下，城市作为竞争主体参与全球竞争的趋势日趋明显。构建创意城市正成为许多城市的战略重点。2</w:t>
      </w:r>
      <w:r w:rsidRPr="00F0285B">
        <w:rPr>
          <w:rFonts w:ascii="仿宋" w:eastAsia="仿宋" w:hAnsi="仿宋"/>
          <w:sz w:val="30"/>
          <w:szCs w:val="30"/>
        </w:rPr>
        <w:t>018年起天津</w:t>
      </w:r>
      <w:r w:rsidRPr="00F0285B">
        <w:rPr>
          <w:rFonts w:ascii="仿宋" w:eastAsia="仿宋" w:hAnsi="仿宋" w:hint="eastAsia"/>
          <w:sz w:val="30"/>
          <w:szCs w:val="30"/>
        </w:rPr>
        <w:t>申建联合国“全球创意城市网络--设计之都”。三岔口地区拥有丰富的历史文化资源和创意智力资源。建议全面研究三岔口地区在天津城市发展中的历史、文化、景观、功能和精神价值，从创意产业、文化智力、特色空间等方面出发，发掘和重塑三岔口地区魅力，带动城市复兴，助力天津构建“全球创意城市”。</w:t>
      </w:r>
    </w:p>
    <w:p w:rsidR="00B8698A" w:rsidRDefault="00B8698A" w:rsidP="00B8698A">
      <w:pPr>
        <w:pStyle w:val="2"/>
        <w:spacing w:beforeLines="50" w:before="120" w:afterLines="50" w:after="120" w:line="240" w:lineRule="auto"/>
        <w:ind w:left="0"/>
      </w:pPr>
      <w:r>
        <w:t>基地范围</w:t>
      </w:r>
      <w:r>
        <w:rPr>
          <w:rFonts w:hint="eastAsia"/>
        </w:rPr>
        <w:t>与地块选择</w:t>
      </w:r>
    </w:p>
    <w:p w:rsidR="00B8698A" w:rsidRDefault="00B8698A" w:rsidP="00B8698A">
      <w:pPr>
        <w:adjustRightInd w:val="0"/>
        <w:snapToGrid w:val="0"/>
        <w:spacing w:line="600" w:lineRule="exact"/>
        <w:ind w:firstLineChars="200" w:firstLine="600"/>
        <w:jc w:val="both"/>
        <w:rPr>
          <w:rFonts w:ascii="仿宋" w:eastAsia="仿宋" w:hAnsi="仿宋"/>
          <w:sz w:val="30"/>
          <w:szCs w:val="30"/>
        </w:rPr>
      </w:pPr>
      <w:r w:rsidRPr="00F0285B">
        <w:rPr>
          <w:rFonts w:ascii="仿宋" w:eastAsia="仿宋" w:hAnsi="仿宋"/>
          <w:sz w:val="30"/>
          <w:szCs w:val="30"/>
        </w:rPr>
        <w:lastRenderedPageBreak/>
        <w:t>本次</w:t>
      </w:r>
      <w:r>
        <w:rPr>
          <w:rFonts w:ascii="仿宋" w:eastAsia="仿宋" w:hAnsi="仿宋" w:hint="eastAsia"/>
          <w:sz w:val="30"/>
          <w:szCs w:val="30"/>
        </w:rPr>
        <w:t>活动</w:t>
      </w:r>
      <w:r w:rsidRPr="00F0285B">
        <w:rPr>
          <w:rFonts w:ascii="仿宋" w:eastAsia="仿宋" w:hAnsi="仿宋"/>
          <w:sz w:val="30"/>
          <w:szCs w:val="30"/>
        </w:rPr>
        <w:t>总基地范围西北至</w:t>
      </w:r>
      <w:r w:rsidRPr="00F0285B">
        <w:rPr>
          <w:rFonts w:ascii="仿宋" w:eastAsia="仿宋" w:hAnsi="仿宋" w:hint="eastAsia"/>
          <w:sz w:val="30"/>
          <w:szCs w:val="30"/>
        </w:rPr>
        <w:t>五马路，东北至黄纬路，东南至中山路/东马路，南至北马路，西至北门外大街/河北大街，总面积约107.7公顷（图</w:t>
      </w:r>
      <w:r w:rsidRPr="00F0285B">
        <w:rPr>
          <w:rFonts w:ascii="仿宋" w:eastAsia="仿宋" w:hAnsi="仿宋"/>
          <w:sz w:val="30"/>
          <w:szCs w:val="30"/>
        </w:rPr>
        <w:t>2</w:t>
      </w:r>
      <w:r w:rsidRPr="00F0285B">
        <w:rPr>
          <w:rFonts w:ascii="仿宋" w:eastAsia="仿宋" w:hAnsi="仿宋" w:hint="eastAsia"/>
          <w:sz w:val="30"/>
          <w:szCs w:val="30"/>
        </w:rPr>
        <w:t>）。</w:t>
      </w:r>
    </w:p>
    <w:p w:rsidR="00B8698A" w:rsidRDefault="00B8698A" w:rsidP="00B8698A">
      <w:pPr>
        <w:jc w:val="center"/>
      </w:pPr>
      <w:r>
        <w:rPr>
          <w:rFonts w:hint="eastAsia"/>
          <w:noProof/>
        </w:rPr>
        <w:drawing>
          <wp:inline distT="0" distB="0" distL="0" distR="0" wp14:anchorId="38159ECD" wp14:editId="3079E821">
            <wp:extent cx="4928157" cy="44805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1072057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274" cy="44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8A" w:rsidRDefault="00B8698A" w:rsidP="00B8698A">
      <w:pPr>
        <w:jc w:val="center"/>
        <w:rPr>
          <w:b/>
          <w:color w:val="000000" w:themeColor="text1"/>
        </w:rPr>
      </w:pPr>
      <w:r w:rsidRPr="00544908">
        <w:rPr>
          <w:b/>
          <w:color w:val="000000" w:themeColor="text1"/>
        </w:rPr>
        <w:t>图</w:t>
      </w:r>
      <w:r w:rsidRPr="00544908">
        <w:rPr>
          <w:rFonts w:hint="eastAsia"/>
          <w:b/>
          <w:color w:val="000000" w:themeColor="text1"/>
        </w:rPr>
        <w:t xml:space="preserve">2 </w:t>
      </w:r>
      <w:r w:rsidRPr="00544908">
        <w:rPr>
          <w:b/>
          <w:color w:val="000000" w:themeColor="text1"/>
        </w:rPr>
        <w:t>基地</w:t>
      </w:r>
      <w:r w:rsidRPr="00544908">
        <w:rPr>
          <w:rFonts w:hint="eastAsia"/>
          <w:b/>
          <w:color w:val="000000" w:themeColor="text1"/>
        </w:rPr>
        <w:t>范围</w:t>
      </w:r>
      <w:r w:rsidRPr="00544908">
        <w:rPr>
          <w:b/>
          <w:color w:val="000000" w:themeColor="text1"/>
        </w:rPr>
        <w:t>示意图</w:t>
      </w:r>
    </w:p>
    <w:p w:rsidR="00B8698A" w:rsidRPr="00F0285B" w:rsidRDefault="00B8698A" w:rsidP="00B8698A">
      <w:pPr>
        <w:adjustRightInd w:val="0"/>
        <w:snapToGrid w:val="0"/>
        <w:spacing w:line="600" w:lineRule="exact"/>
        <w:ind w:firstLineChars="200" w:firstLine="600"/>
        <w:jc w:val="both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各小组选择地块可根据以下原则。</w:t>
      </w:r>
      <w:r w:rsidRPr="00F0285B">
        <w:rPr>
          <w:rFonts w:ascii="仿宋" w:eastAsia="仿宋" w:hAnsi="仿宋" w:hint="eastAsia"/>
          <w:sz w:val="30"/>
          <w:szCs w:val="30"/>
        </w:rPr>
        <w:t>首先，对基地及其周边地区进行整体调研和综合分析，全面识别基地在历史保护、商贸服务、文化传承、城市名片等方面的综合价值，分析城市和基地层面的各项因素，处理好历史文化保护与更新改造之间的关系。进一步地，</w:t>
      </w:r>
      <w:r>
        <w:rPr>
          <w:rFonts w:ascii="仿宋" w:eastAsia="仿宋" w:hAnsi="仿宋" w:hint="eastAsia"/>
          <w:sz w:val="30"/>
          <w:szCs w:val="30"/>
        </w:rPr>
        <w:t>各</w:t>
      </w:r>
      <w:r w:rsidRPr="00F0285B">
        <w:rPr>
          <w:rFonts w:ascii="仿宋" w:eastAsia="仿宋" w:hAnsi="仿宋" w:hint="eastAsia"/>
          <w:sz w:val="30"/>
          <w:szCs w:val="30"/>
        </w:rPr>
        <w:t>小组依据设计立意和功能定位，自主划定规划设计范围，要求至少以城市支路为边界，至少包括一条河两岸的部分用地范围，规划设计地块总面积在</w:t>
      </w:r>
      <w:r w:rsidRPr="00F0285B">
        <w:rPr>
          <w:rFonts w:ascii="仿宋" w:eastAsia="仿宋" w:hAnsi="仿宋"/>
          <w:sz w:val="30"/>
          <w:szCs w:val="30"/>
        </w:rPr>
        <w:t>30</w:t>
      </w:r>
      <w:r w:rsidRPr="00F0285B">
        <w:rPr>
          <w:rFonts w:ascii="仿宋" w:eastAsia="仿宋" w:hAnsi="仿宋" w:hint="eastAsia"/>
          <w:sz w:val="30"/>
          <w:szCs w:val="30"/>
        </w:rPr>
        <w:t>-</w:t>
      </w:r>
      <w:r w:rsidRPr="00F0285B">
        <w:rPr>
          <w:rFonts w:ascii="仿宋" w:eastAsia="仿宋" w:hAnsi="仿宋"/>
          <w:sz w:val="30"/>
          <w:szCs w:val="30"/>
        </w:rPr>
        <w:t>40公顷</w:t>
      </w:r>
      <w:r w:rsidRPr="00F0285B">
        <w:rPr>
          <w:rFonts w:ascii="仿宋" w:eastAsia="仿宋" w:hAnsi="仿宋" w:hint="eastAsia"/>
          <w:sz w:val="30"/>
          <w:szCs w:val="30"/>
        </w:rPr>
        <w:t>。针对划定的规划设计地块，提出具体的发展目标，制定适宜的更新策略，进行详细设计。规划设计地块划定示例如</w:t>
      </w:r>
      <w:r>
        <w:rPr>
          <w:rFonts w:ascii="仿宋" w:eastAsia="仿宋" w:hAnsi="仿宋" w:hint="eastAsia"/>
          <w:sz w:val="30"/>
          <w:szCs w:val="30"/>
        </w:rPr>
        <w:t>图3</w:t>
      </w:r>
      <w:r w:rsidRPr="00F0285B">
        <w:rPr>
          <w:rFonts w:ascii="仿宋" w:eastAsia="仿宋" w:hAnsi="仿宋"/>
          <w:sz w:val="30"/>
          <w:szCs w:val="30"/>
        </w:rPr>
        <w:t>所示</w:t>
      </w:r>
      <w:r w:rsidRPr="00F0285B">
        <w:rPr>
          <w:rFonts w:ascii="仿宋" w:eastAsia="仿宋" w:hAnsi="仿宋" w:hint="eastAsia"/>
          <w:sz w:val="30"/>
          <w:szCs w:val="30"/>
        </w:rPr>
        <w:t>。</w:t>
      </w:r>
    </w:p>
    <w:p w:rsidR="00B8698A" w:rsidRPr="00544908" w:rsidRDefault="00B8698A" w:rsidP="00B8698A">
      <w:pPr>
        <w:jc w:val="center"/>
        <w:rPr>
          <w:b/>
          <w:color w:val="000000" w:themeColor="text1"/>
        </w:rPr>
      </w:pPr>
      <w:r>
        <w:rPr>
          <w:rFonts w:hint="eastAsia"/>
          <w:noProof/>
        </w:rPr>
        <w:lastRenderedPageBreak/>
        <w:drawing>
          <wp:inline distT="0" distB="0" distL="0" distR="0" wp14:anchorId="4FCB02AB" wp14:editId="3A323B4E">
            <wp:extent cx="2556510" cy="232431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1072057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33" cy="234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419E95E" wp14:editId="611A804E">
            <wp:extent cx="2556763" cy="232454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微信图片_202001072057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508" cy="233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98A" w:rsidRDefault="00B8698A" w:rsidP="00B8698A">
      <w:pPr>
        <w:jc w:val="center"/>
        <w:rPr>
          <w:b/>
          <w:color w:val="000000" w:themeColor="text1"/>
        </w:rPr>
      </w:pPr>
      <w:r w:rsidRPr="00544908">
        <w:rPr>
          <w:b/>
          <w:color w:val="000000" w:themeColor="text1"/>
        </w:rPr>
        <w:t>图</w:t>
      </w:r>
      <w:r w:rsidRPr="00544908">
        <w:rPr>
          <w:rFonts w:hint="eastAsia"/>
          <w:b/>
          <w:color w:val="000000" w:themeColor="text1"/>
        </w:rPr>
        <w:t>3</w:t>
      </w:r>
      <w:r w:rsidRPr="00544908">
        <w:rPr>
          <w:rFonts w:hint="eastAsia"/>
          <w:b/>
          <w:color w:val="000000" w:themeColor="text1"/>
        </w:rPr>
        <w:t>规划设计地块划定示例</w:t>
      </w:r>
      <w:r>
        <w:rPr>
          <w:rFonts w:hint="eastAsia"/>
          <w:b/>
          <w:color w:val="000000" w:themeColor="text1"/>
        </w:rPr>
        <w:t>图</w:t>
      </w:r>
    </w:p>
    <w:p w:rsidR="00854215" w:rsidRPr="00B8698A" w:rsidRDefault="00854215"/>
    <w:sectPr w:rsidR="00854215" w:rsidRPr="00B8698A" w:rsidSect="009776DA">
      <w:pgSz w:w="11906" w:h="16838"/>
      <w:pgMar w:top="1440" w:right="1797" w:bottom="680" w:left="1797" w:header="851" w:footer="992" w:gutter="0"/>
      <w:pgNumType w:fmt="numberInDash"/>
      <w:cols w:space="425"/>
      <w:docGrid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57FF2"/>
    <w:multiLevelType w:val="hybridMultilevel"/>
    <w:tmpl w:val="4008D806"/>
    <w:lvl w:ilvl="0" w:tplc="D61C8D3C">
      <w:start w:val="1"/>
      <w:numFmt w:val="japaneseCounting"/>
      <w:pStyle w:val="2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98A"/>
    <w:rsid w:val="00854215"/>
    <w:rsid w:val="00B86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F35BB-FC5E-4461-BB17-BC9B3D753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698A"/>
    <w:rPr>
      <w:rFonts w:ascii="Times New Roman" w:eastAsia="宋体" w:hAnsi="Times New Roman" w:cs="Times New Roman"/>
      <w:kern w:val="0"/>
      <w:sz w:val="24"/>
      <w:szCs w:val="24"/>
    </w:rPr>
  </w:style>
  <w:style w:type="paragraph" w:styleId="2">
    <w:name w:val="heading 2"/>
    <w:basedOn w:val="a0"/>
    <w:next w:val="a"/>
    <w:link w:val="2Char"/>
    <w:uiPriority w:val="9"/>
    <w:unhideWhenUsed/>
    <w:qFormat/>
    <w:rsid w:val="00B8698A"/>
    <w:pPr>
      <w:numPr>
        <w:numId w:val="1"/>
      </w:numPr>
      <w:adjustRightInd w:val="0"/>
      <w:snapToGrid w:val="0"/>
      <w:spacing w:line="360" w:lineRule="auto"/>
      <w:ind w:firstLineChars="0" w:firstLine="0"/>
      <w:jc w:val="both"/>
      <w:outlineLvl w:val="1"/>
    </w:pPr>
    <w:rPr>
      <w:rFonts w:ascii="黑体" w:eastAsia="黑体" w:hAnsi="仿宋"/>
      <w:sz w:val="32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uiPriority w:val="9"/>
    <w:rsid w:val="00B8698A"/>
    <w:rPr>
      <w:rFonts w:ascii="黑体" w:eastAsia="黑体" w:hAnsi="仿宋" w:cs="Times New Roman"/>
      <w:kern w:val="0"/>
      <w:sz w:val="32"/>
      <w:szCs w:val="30"/>
    </w:rPr>
  </w:style>
  <w:style w:type="paragraph" w:styleId="a0">
    <w:name w:val="List Paragraph"/>
    <w:basedOn w:val="a"/>
    <w:uiPriority w:val="34"/>
    <w:qFormat/>
    <w:rsid w:val="00B8698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baike.baidu.com/item/%E6%BC%95%E8%BF%90/1058503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sunlina</dc:creator>
  <cp:keywords/>
  <dc:description/>
  <cp:lastModifiedBy>sunlina</cp:lastModifiedBy>
  <cp:revision>1</cp:revision>
  <dcterms:created xsi:type="dcterms:W3CDTF">2021-05-13T07:55:00Z</dcterms:created>
  <dcterms:modified xsi:type="dcterms:W3CDTF">2021-05-13T07:55:00Z</dcterms:modified>
</cp:coreProperties>
</file>