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附件</w:t>
      </w:r>
    </w:p>
    <w:p>
      <w:pPr>
        <w:spacing w:line="6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创建无障碍环境工作标准</w:t>
      </w:r>
    </w:p>
    <w:p>
      <w:pPr>
        <w:spacing w:line="6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ind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一、为贯彻落实</w:t>
      </w:r>
      <w:r>
        <w:rPr>
          <w:rFonts w:hint="eastAsia" w:ascii="仿宋" w:hAnsi="仿宋" w:eastAsia="仿宋" w:cs="仿宋_GB2312"/>
          <w:sz w:val="28"/>
          <w:szCs w:val="28"/>
        </w:rPr>
        <w:t>《无障碍环境建设条例》，明确无障碍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环境创建工作的基本要求和项目指标，指导组织创建无障碍环境工作，制定本工作标准。</w:t>
      </w:r>
    </w:p>
    <w:p>
      <w:pPr>
        <w:spacing w:line="5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二、无障碍环境建设是指为便于残疾人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、老年人</w:t>
      </w:r>
      <w:r>
        <w:rPr>
          <w:rFonts w:hint="eastAsia" w:ascii="仿宋" w:hAnsi="仿宋" w:eastAsia="仿宋" w:cs="仿宋_GB2312"/>
          <w:sz w:val="28"/>
          <w:szCs w:val="28"/>
        </w:rPr>
        <w:t>等社会成员自主安全地通行道路、出入相关建筑物、搭乘公共交通工具、交流信息、获得社区服务所进行的建设活动。</w:t>
      </w:r>
    </w:p>
    <w:p>
      <w:pPr>
        <w:spacing w:line="5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三、本工作标准规定的指标为创建无障碍环境市县村镇的基本工作要求。各地应根据本地经济社会发展状况，在开展无障碍环境建设与改造时，结合老旧小区改造、脱贫攻坚、农村人居环境整治三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行动</w:t>
      </w:r>
      <w:r>
        <w:rPr>
          <w:rFonts w:hint="eastAsia" w:ascii="仿宋" w:hAnsi="仿宋" w:eastAsia="仿宋" w:cs="仿宋_GB2312"/>
          <w:sz w:val="28"/>
          <w:szCs w:val="28"/>
        </w:rPr>
        <w:t>等工作，努力提高建设水平和改造比例，丰富建设内涵和改造内容。</w:t>
      </w:r>
    </w:p>
    <w:p>
      <w:pPr>
        <w:spacing w:line="5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本工作标准所称新建道路、建筑物及相关设施是指“十三五”以来建成并投入使用的道路、建筑物及相关设施。对于城镇已建成的不符合无障碍设施工程建设标准的道路、公共建筑、公共交通设施、居住建筑、居住区等，县级以上人民政府应当制定无障碍设施改造计划并组织实施。</w:t>
      </w:r>
    </w:p>
    <w:p>
      <w:pPr>
        <w:spacing w:line="5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五、本工作标准所称市指直辖市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sz w:val="28"/>
          <w:szCs w:val="28"/>
        </w:rPr>
        <w:t>地级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及以上的</w:t>
      </w:r>
      <w:r>
        <w:rPr>
          <w:rFonts w:hint="eastAsia" w:ascii="仿宋" w:hAnsi="仿宋" w:eastAsia="仿宋" w:cs="仿宋_GB2312"/>
          <w:sz w:val="28"/>
          <w:szCs w:val="28"/>
        </w:rPr>
        <w:t>市；县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（县级市）</w:t>
      </w:r>
      <w:r>
        <w:rPr>
          <w:rFonts w:hint="eastAsia" w:ascii="仿宋" w:hAnsi="仿宋" w:eastAsia="仿宋" w:cs="仿宋_GB2312"/>
          <w:sz w:val="28"/>
          <w:szCs w:val="28"/>
        </w:rPr>
        <w:t>指县城；镇指镇建成区；乡指乡建成区；村指行政村村民委员会所在自然村或社区等。</w:t>
      </w:r>
    </w:p>
    <w:p>
      <w:pPr>
        <w:spacing w:line="5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六、直辖市、直辖市的区、地级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及以上的</w:t>
      </w:r>
      <w:r>
        <w:rPr>
          <w:rFonts w:hint="eastAsia" w:ascii="仿宋" w:hAnsi="仿宋" w:eastAsia="仿宋" w:cs="仿宋_GB2312"/>
          <w:sz w:val="28"/>
          <w:szCs w:val="28"/>
        </w:rPr>
        <w:t>市、地级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及以上</w:t>
      </w:r>
      <w:r>
        <w:rPr>
          <w:rFonts w:hint="eastAsia" w:ascii="仿宋" w:hAnsi="仿宋" w:eastAsia="仿宋" w:cs="仿宋_GB2312"/>
          <w:sz w:val="28"/>
          <w:szCs w:val="28"/>
        </w:rPr>
        <w:t>市的区执行市工作标准。直辖市的县由直辖市决定执行市工作标准或县工作标准。县（县级市）、镇执行县工作标准。乡、行政村执行村工作标准。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47"/>
        <w:gridCol w:w="3969"/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sz w:val="28"/>
              </w:rPr>
              <w:pict>
                <v:line id="_x0000_s1033" o:spid="_x0000_s1033" o:spt="20" style="position:absolute;left:0pt;flip:x y;margin-left:42.55pt;margin-top:31.2pt;height:47.7pt;width:57.3pt;z-index:251660288;mso-width-relative:page;mso-height-relative:page;" fillcolor="#FFFFFF" filled="t" stroked="t" coordsize="21600,21600">
                  <v:path arrowok="t"/>
                  <v:fill on="t" color2="#FFFFFF" focussize="0,0"/>
                  <v:stroke weight="0.4pt"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创建无障碍环境工作标准</w:t>
            </w:r>
            <w:r>
              <w:rPr>
                <w:rFonts w:hint="eastAsia" w:ascii="宋体" w:hAnsi="宋体" w:cs="仿宋_GB2312"/>
                <w:b/>
                <w:sz w:val="28"/>
                <w:szCs w:val="28"/>
                <w:lang w:eastAsia="zh-CN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093" w:type="dxa"/>
            <w:gridSpan w:val="2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 xml:space="preserve"> 分类</w:t>
            </w:r>
          </w:p>
          <w:p>
            <w:pPr>
              <w:ind w:firstLine="590" w:firstLineChars="245"/>
              <w:jc w:val="left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sz w:val="24"/>
              </w:rPr>
              <w:pict>
                <v:line id="_x0000_s1032" o:spid="_x0000_s1032" o:spt="20" style="position:absolute;left:0pt;margin-left:-5.45pt;margin-top:6.4pt;height:25.2pt;width:105pt;z-index:251659264;mso-width-relative:page;mso-height-relative:page;" fillcolor="#FFFFFF" filled="t" stroked="t" coordsize="21600,21600">
                  <v:path arrowok="t"/>
                  <v:fill on="t" color2="#FFFFFF" focussize="0,0"/>
                  <v:stroke weight="0.4pt"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要求</w:t>
            </w:r>
          </w:p>
          <w:p>
            <w:pPr>
              <w:jc w:val="left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分项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市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县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ind w:left="-164" w:leftChars="-78" w:right="-76" w:rightChars="-36"/>
              <w:jc w:val="both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firstLine="108" w:firstLineChars="45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机制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成立由市政府有关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负责同志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牵头，住房城乡建设、城市规划、工业和信息化、民政、交通运输、财政、发展改革、公安、教育、宣传、广电、旅游、商务、银行、卫生、残联、老龄等部门参加的无障碍环境建设领导小组，建立各司其职、协调配合的工作机制，在无障碍环境建设中切实发挥组织、协调作用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成立由县政府有关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负责同志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牵头，住房城乡建设、城市规划、工业和信息化、民政、交通运输、财政、发展改革、文化、广电、残联、老龄等部门参加的无障碍环境建设领导小组，建立各司其职、协调配合的工作机制，在无障碍环境建设中切实发挥组织、协调作用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成立由县政府有关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负责同志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牵头，相关部门、乡镇政府和村民委员会参加的无障碍环境建设领导小组，建立各司其职、协调配合的工作机制，在无障碍环境建设中切实发挥组织、协调作用。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法规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制度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制定无障碍环境建设的地方性法规、规章、标准。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制定无障碍环境建设的规范性文件或标准。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县政府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乡镇政府制定无障碍环境建设的规范性文件。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发展规划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与经费支持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组织编制无障碍环境建设发展规划，并将该规划纳入当地国民经济和社会发展规划以及城乡规划。将无障碍环境建设经费和工作经费纳入财政预算，多渠道筹措资金。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组织编制无障碍环境建设发展规划，并将该规划纳入当地国民经济和社会发展规划以及城乡规划。将无障碍环境建设经费和工作经费纳入财政预算，多渠道筹措资金。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县政府、乡镇政府将村无障碍环境建设经费和工作经费纳入财政预算，多渠道筹措资金。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相关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部门工作内容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住房城乡建设主管部门要切实采取措施，确保新建的道路和建筑物在规划、设计、施工、监理及验收等各个环节严格执行《无障碍设计规范》(GB50763)。凡进行扩建、改建的道路和建筑物，应同步进行无障碍设施改造，且应保证使用功能的系统性和连贯性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工业和信息化、广电等部门，应采取措施推进无障碍信息交流建设。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交通运输、公安、教育、旅游、卫生、邮政、电信、金融部门应按照《铁路旅客车站设计规范》（TB10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）、《民用机场旅客航站区无障碍设施设备配置标准》（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MH/T5107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）、《特殊教育学校建筑设计规范》（JGJ76）等标准规范和相关规定，切实推进相关无障碍设施建设。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宣传部门应组织有关媒体，做好无障碍环境建设宣传报道，创造良好的无障碍社会舆论氛围。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政部门、残疾人联合会和老龄工作委员会办公室应积极向政府、有关部门、有关方面反映残疾人、老年人等群体的无障碍需求，对城市无障碍设施建设、管理、使用提出意见，配合住房城乡建设主管部门等做好《无障碍设计规范》(GB50763)、《老年人照料设施建筑设计标准》（JGJ450）的宣传、培训、贯彻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监督检查等工作。同时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应切实抓好本部门老年人福利设施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残疾人综合服务设施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、残疾人康复托养服务设施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的无障碍设施建设与改造工作，发挥示范作用。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住房城乡建设主管部门要切实采取措施，确保新建的道路和建筑物在规划、设计、施工、监理及验收等各个环节严格执行《无障碍设计规范》(GB50763)。凡进行扩建、改建的道路和建筑物，应同步进行无障碍设施改造，且应保证使用功能的系统性和连贯性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工业和信息化、广电等部门，采取措施推进无障碍信息交流建设。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交通运输、教育等各有关部门应按照《铁路旅客车站设计规范》（TB10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）、《民用机场旅客航站区无障碍设施设备配置标准》（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MH/T 5107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）、《特殊教育学校建筑设计规范》（JGJ76）等标准规范和相关规定，切实推进相关无障碍设施建设。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宣传部门应组织有关媒体，做好无障碍环境建设宣传报道，创造良好的无障碍社会舆论氛围。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政部门、残疾人联合会和老龄工作委员会办公室应积极向政府、有关部门、有关方面反映残疾人、老年人等群体的无障碍需求，对县城无障碍设施建设、管理、使用提出意见，配合住房城乡建设主管部门等做好《无障碍设计规范》(GB50763)、《老年人照料设施建筑设计标准》（JGJ450）的宣传、培训、贯彻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监督检查等工作。同时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应切实抓好本部门老年人福利设施、残疾人综合服务设施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、残疾人康复托养服务设施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的无障碍设施建设与改造工作，发挥示范作用。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县住房城乡建设、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工业和信息化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、民政、残联、老龄等部门指导乡、村开展无障碍环境建设。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计划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制定既有道路和建筑物无障碍设施改造计划，并组织实施。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制定既有道路和建筑物无障碍设施改造计划，并组织实施。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制定既有道路和建筑物无障碍设施改造计划，并组织实施。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指导与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监督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监督管理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已经建成的无障碍设施应加强管理和维护，并确保使用情况良好。有关行政主管部门应加强对无障碍设施的监督管理，对侵占、破坏无障碍设施的行为依法处罚。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已经建成的无障碍设施应加强管理和维护，并确保使用情况良好。有关行政主管部门应加强对无障碍设施的监督管理，对侵占、破坏无障碍设施的行为依法处罚。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已经建成的无障碍设施应加强管理和维护，并确保使用情况良好。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社会监督机制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建立有效社会监督机制，发挥新闻媒体、人大代表、政协委员、残疾人、老年人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代表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等社会群体的监督作用，对无障碍环境建设和管理进行监督。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建立有效社会监督机制，发挥新闻媒体、人大代表、政协委员、残疾人、老年人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代表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等社会群体的监督作用，对无障碍环境建设和管理进行监督。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建立有效社会监督机制，发挥村民委员会、残疾人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代表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基层老年协会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等社会群体的监督作用，对无障碍环境建设和管理进行监督。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培训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组织开展对相关技术和管理人员的培训，提高相关技术和管理人员执行无障碍相关标准规范的自觉性和能力。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组织开展对相关技术和管理人员的培训，提高相关技术和管理人员执行无障碍相关标准规范的自觉性和能力。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积极开展无障碍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环境建设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宣传培训。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技术指导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有关建设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设计单位的专家组成无障碍环境建设技术指导组，承担无障碍环境建设的规划、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设计、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施工、改造和特别环境的技术指导和服务。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有关建设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设计单位的专家组成无障碍环境建设技术指导组，承担无障碍环境建设的规划、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设计、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施工、改造和特别环境的技术指导和服务。</w:t>
            </w:r>
          </w:p>
        </w:tc>
        <w:tc>
          <w:tcPr>
            <w:tcW w:w="3969" w:type="dxa"/>
            <w:vMerge w:val="continue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宣传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组织开展无障碍宣传工作，制作播出无障碍公益广告、宣传片、专题片、印发宣传资料，提高公众的无障碍意识，教育公众维护、爱护无障碍设施，形成无障碍环境建设的良好社会氛围。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组织开展无障碍宣传工作，制作播出无障碍公益广告、宣传片、专题片、印发宣传资料，提高公众的无障碍意识，教育公众维护、爱护无障碍设施，形成无障碍环境建设的良好社会氛围。</w:t>
            </w:r>
          </w:p>
        </w:tc>
        <w:tc>
          <w:tcPr>
            <w:tcW w:w="3969" w:type="dxa"/>
            <w:vMerge w:val="continue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三、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道路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无障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碍环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境建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设与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改造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缘石坡道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（1）新建、扩建和改建道路的人行道，在各种路口、出入口及人行横道等处缘石坡道设置率应达到100%，缘石坡道应尽量采用全宽式单面坡缘石坡道，并符合《无障碍设计规范》(GB50763)的要求。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（2）人行道及人行横道各种路口坡化改造率（含新建率）应不低于85%，且布局合理。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（1）新建、扩建和改建道路的人行道，在各种路口、出入口及人行横道等处缘石坡道设置率应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100%，缘石坡道应尽量采用全宽式单面坡缘石坡道，并符合《无障碍设计规范》(GB50763)的要求。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（2）人行道及人行横道各种路口坡化改造率（含新建率）应不低于70%，且布局合理。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（1）新建、扩建和改建道路的人行道，在各种路口、出入口及人行横道等处缘石坡道设置率应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100%，缘石坡道应尽量采用全宽式单面坡缘石坡道，并符合《无障碍设计规范》(GB50763)的要求。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（2）人行道及人行横道各种路口坡化改造率（含新建率）应不低于60%，且布局合理。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盲道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、扩建和改建的主要商业街、步行街等处的人行道应设置盲道，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视觉障碍者集中区域周边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道路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坡道的上下坡边缘处应设置提示盲道，道路周边场所、建筑等出入口设置的盲道应与道路盲道相衔接，并符合《无障碍设计规范》(GB50763)的要求。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、扩建和改建的主要商业街、步行街等处的人行道应设置盲道，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视觉障碍者集中区域周边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道路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坡道的上下坡边缘处应设置提示盲道，道路周边场所、建筑等出入口设置的盲道应与道路盲道相衔接，并符合《无障碍设计规范》(GB50763)的要求。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、扩建和改建的主要商业街、步行街等处的人行道应设置盲道，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视觉障碍者集中区域周边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道路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坡道的上下坡边缘处应设置提示盲道，道路周边场所、建筑等出入口设置的盲道应与道路盲道相衔接，并符合《无障碍设计规范》(GB50763)的要求。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其他设施</w:t>
            </w:r>
          </w:p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1）新建、扩建和改建城市中心区及视觉障碍者集中区域的人行横道，应配置过街音响提示装置，人行横道的安全岛应能使轮椅通行。城市主要道路人行天桥和人行地道应设安全梯道、轮椅坡道或无障碍电梯，并设置无障碍标志牌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2）已建城市中心区及视觉障碍者集中区域的人行横道，应增设过街音响提示装置。人行横道的安全岛应修建轮椅通道。城市主要道路人行天桥和人行地道，宜增设安全梯道、轮椅坡道或无障碍电梯，并设置无障碍标志牌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（1）新建、扩建和改建县城道路人行横道的安全岛应能使轮椅通行。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（2）已建县城道路人行横道的安全岛应修建轮椅通道。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支路和巷路应进出畅通，路面硬化率达到100%。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四、公共建筑、城市广场和城市绿地无障碍环境建设与改造</w:t>
            </w:r>
          </w:p>
          <w:p>
            <w:pPr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textDirection w:val="lrTb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1.新建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公共建筑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、城市广场和城市绿地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办公科研司法建筑、教育建筑、医疗康复建筑、体育建筑、文化建筑、商业服务建筑、汽车加油加气站、高速公路服务区、室外公共厕所、城市广场、城市绿地等无障碍设施建设率应达到100%，并符合《无障碍设计规范》(GB50763)的要求。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办公科研司法建筑、教育建筑、医疗康复建筑、体育建筑、文化建筑、商业服务建筑、汽车加油加气站、高速公路服务区、室外公共厕所、城市广场、城市绿地等无障碍设施建设率应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100%，并符合《无障碍设计规范》(GB50763)的要求。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综合服务中心、卫生院（所、室）、银行、信用社、商店、室外公共厕所、文体活动中心、学校、托儿所、幼儿园等各类公共建筑无障碍设施建设率应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100%，并应符合《无障碍设计规范》(GB50763)的要求。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2.已建成的公共建筑、城市广场和城市绿地</w:t>
            </w: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政府办公建筑、综合（专科）医院、大中型商场、汽车加油加气站、高速公路服务区、城市广场、城市绿地无障碍改造率应不低于75%，且布局合理。政府办公建筑的对外服务窗口无障碍改造率应达到100%。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大型场所设置无障碍行进路线图，政府办公建筑的对外服务窗口、医院、公园等公共服务建筑同时要设低位服务设施。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政府办公建筑、综合（专科）医院、大中型商场、汽车加油加气站、高速公路服务区、城市广场、城市绿地无障碍改造率应不低于70%，且布局合理。政府办公建筑的对外服务窗口无障碍改造率应达到100%。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大型场所设置无障碍行进路线图，政府办公建筑的对外服务窗口、医院、公园等公共服务建筑同时要设低位服务设施。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综合服务中心、卫生院（所、室）无障碍改造率应达到100%，且布局合理。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厕位，停车场设置无障碍停车位，无电梯的不作要求，有电梯的待更换电梯时再选用无障碍电梯，对外服务窗口设低位服务设施。卫生院（所、室）的诊区、护士站、查询处、服务台等设低位服务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饭店、宾馆、邮政、电信、银行、室外公共厕所无障碍改造率应不低于60%，且布局合理。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大型场所设置无障碍行进路线图，邮政、电信、银行等公共服务建筑同时要设低位服务设施，宾馆、饭店同时要有一定数量的无障碍客房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饭店、宾馆、邮政、电信、银行、室外公共厕所无障碍改造率应不低于50%，且布局合理。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大型场所设置无障碍行进路线图，邮政、电信、银行等公共服务建筑同时要设低位服务设施，宾馆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饭店同时要有一定数量的无障碍客房。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银行、信用社、商店、室外公共厕所无障碍改造率应不低于40%，且布局合理。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厕位，窗口、服务台等设低位服务设施。室外公共厕所设置无障碍厕位、扶手，入口和通道应方便乘轮椅者进出，地面硬化、防滑。有条件的地方宜设置无障碍厕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文化馆、图书馆、科技馆、展览馆、博物馆、纪念馆、影剧院、音乐厅、体育场馆无障碍改造率应不低于60%，且布局合理。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大型场所设置无障碍行进路线图，文化建筑、体育建筑同时要设低位服务设施和轮椅席位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文化馆、图书馆、科技馆、展览馆、博物馆、纪念馆、影剧院、音乐厅、体育场馆无障碍改造率应不低于50%，且布局合理。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大型场所设置无障碍行进路线图，文化建筑、体育建筑同时要设低位服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设施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和轮椅席位。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文体活动中心无障碍改造率应不低于40%，且布局合理。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改造主要内容为：建筑物出入口坡化处理，设置扶手、无障碍厕位，地面平整、防滑、硬化。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学校、托幼建筑无障碍改造率应不低于40%，且布局合理。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改造主要内容为：建筑物出入口坡化处理，设置无障碍通道、无障碍电梯、无障碍厕所及无障碍厕位，停车场设置无障碍停车位，在显著醒目位置设无障碍标志，有条件的加装无障碍电梯。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学校、托幼建筑无障碍改造率应不低于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改造主要内容为：建筑物出入口坡化处理，设置无障碍通道、无障碍电梯、无障碍厕所及无障碍厕位，停车场设置无障碍停车位，在显著醒目位置设无障碍标志，有条件的加装无障碍电梯。</w:t>
            </w:r>
          </w:p>
        </w:tc>
        <w:tc>
          <w:tcPr>
            <w:tcW w:w="3969" w:type="dxa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学校、托幼建筑无障碍改造率应不低于30%，且布局合理。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改造主要内容为：建筑物出入口坡化处理，设置无障碍通道、无障碍厕所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无障碍厕位，有条件的加装无障碍电梯。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ind w:left="105" w:leftChars="50" w:right="105" w:rightChars="50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五、公共交通设施无障碍环境建设与改造</w:t>
            </w: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公共交通设施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轨道交通、民用机场、铁路旅客车站、汽车站、客运码头无障碍设施建设率应达到100%，并符合《无障碍设计规范》(GB50763)、《铁路旅客车站设计规范》（TB10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）、《民用机场旅客航站区无障碍设施设备配置标准》（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MH/T5107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）等技术要求。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汽车站、客运码头无障碍设施建设率应达到100%，并符合《无障碍设计规范》(GB50763)的要求。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汽车站、客运码头无障碍设施建设率应达到100%，并符合《无障碍设计规范》(GB50763)的要求。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公共交通设施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轨道交通、民用机场、铁路旅客车站、汽车站，客运码头应进行无障碍改造。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出入口坡化处理，设置无障碍通道、无障碍电梯、无障碍厕所及无障碍厕位，同时要设低位服务设施，铁路旅客站台、轨道交通站台及公交车站等候区设行进盲道和提示盲道，主要公交车站设置盲道和盲文站牌，大型场所设置无障碍行进路线图、无障碍标志，机场有方便残疾人登机的升降装置，铁路旅客车站、长途汽车站、地铁、轻轨站台高度与车厢地板基本平齐，客运码头有方便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高龄失能老年人、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残疾人登船的装置。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汽车站和客运码头应进行无障碍改造。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主要改造内容为：出入口坡化处理，设置无障碍通道、无障碍厕所及无障碍厕位，同时要设低位服务设施，公交车站等候区设提示盲道，设置无障碍标志，客运码头有方便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高龄失能老年人、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残疾人登船的装置。</w:t>
            </w:r>
          </w:p>
        </w:tc>
        <w:tc>
          <w:tcPr>
            <w:tcW w:w="3969" w:type="dxa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汽车站和客运码头应进行无障碍改造。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主要改造内容为：出入口坡化处理，设置无障碍通道、无障碍厕所及无障碍厕位，同时要设低位服务设施，公交车站等候区设提示盲道，设置无障碍标志，客运码头有方便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高龄失能老年人、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残疾人登船的装置。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公共交通工具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飞机、地铁、轻轨车辆、铁路客车、公共汽车、电车、客轮等公共交通工具应适应残疾人的需要。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主要改造内容为：乘客入口水平通道及轮椅席位。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公共汽车、电车、客轮等公共交通工具应逐步适应残疾人的需要。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主要改造内容为：乘客入口水平通道及轮椅席位。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ind w:left="105" w:leftChars="50" w:right="105" w:rightChars="5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六、福利及特殊服务建筑无障碍环境建设与改造</w:t>
            </w: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福利及特殊服务建筑</w:t>
            </w:r>
          </w:p>
        </w:tc>
        <w:tc>
          <w:tcPr>
            <w:tcW w:w="3969" w:type="dxa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特教学校、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残疾人集中就业单位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康复中心、残疾人综合服务设施、残疾人福利机构、儿童福利机构、养老机构、老年人服务设施无障碍设施建设率应达到100%，并符合《无障碍设计规范》(GB50763)、《特殊教育学校建筑设计规范》（JGJ76）、《老年人照料设施建筑设计标准》（JGJ450）等技术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特教学校、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残疾人集中就业单位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康复中心、残疾人综合服务设施、残疾人福利机构、儿童福利机构、养老机构、老年人服务设施无障碍设施建设率应达到100%，并符合《无障碍设计规范》(GB50763)、《特殊教育学校建筑设计规范》（JGJ76）、《老年人照料设施建筑设计标准》（JGJ450）等技术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敬老院、残疾人综合服务设施、残疾人福利机构无障碍设施建设率应达到100%，并符合《无障碍设计规范》(GB50763)、《老年人照料设施建筑设计标准》（JGJ450）等技术要求。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福利及特殊服务建筑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特教学校、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残疾人集中就业单位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、康复中心、残疾人综合服务设施、残疾人福利机构、儿童福利机构、养老机构、老年人服务设施无障碍改造率应达到100%。</w:t>
            </w:r>
          </w:p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主要改造内容为：出入口坡化处理，设置无障碍通道、无障碍电梯、无障碍厕所及无障碍厕位、低位服务设施，室内外主要位置地面铺设行进盲道和提示盲道。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特教学校、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残疾人集中就业单位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、康复中心、残疾人综合服务设施、残疾人福利机构、儿童福利机构、养老机构、老年人服务设施无障碍改造率应达到50%。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主要改造内容为：出入口坡化处理，设置无障碍通道、无障碍电梯、无障碍厕所及无障碍厕位、低位服务设施，室内外主要位置地面铺设行进盲道和提示盲道。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敬老院、残疾人综合服务设施、残疾人福利机构无障碍改造率应达到50%。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主要改造内容为：出入口坡化处理，设置无障碍通道、无障碍电梯、无障碍厕所及无障碍厕位、低位服务设施，室内外主要位置地面铺设行进盲道和提示盲道。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ind w:right="78" w:rightChars="37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七、公共停车场（库）无障碍环境建设与改造</w:t>
            </w:r>
          </w:p>
        </w:tc>
        <w:tc>
          <w:tcPr>
            <w:tcW w:w="947" w:type="dxa"/>
            <w:vAlign w:val="center"/>
          </w:tcPr>
          <w:p>
            <w:pPr>
              <w:ind w:left="-141" w:leftChars="-67" w:right="-107" w:rightChars="-51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1.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新建公共停车场（库）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公共停车场（库）无障碍设施建设率应达到100%，并符合《无障碍设计规范》(GB50763)的要求。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ind w:left="-141" w:leftChars="-67" w:right="-107" w:rightChars="-51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2.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已建公共停车场（库）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公共停车场（库）无障碍改造率应不低于60%，且布局合理。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restart"/>
            <w:vAlign w:val="center"/>
          </w:tcPr>
          <w:p>
            <w:pPr>
              <w:ind w:left="0" w:leftChars="0" w:right="78" w:rightChars="37" w:firstLine="0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八、居住区、居住建筑无障碍环境建设与改造</w:t>
            </w:r>
          </w:p>
          <w:p>
            <w:pPr>
              <w:ind w:left="128" w:leftChars="61" w:right="78" w:rightChars="37" w:firstLine="1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ind w:left="128" w:leftChars="61" w:right="78" w:rightChars="37" w:firstLine="1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居住区、居住建筑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居住区、居住建筑无障碍设施建设率应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100%，并符合《无障碍设计规范》(GB50763)、《老年人照料设施建筑设计标准》（JGJ450）的要求。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居住区、居住建筑无障碍设施建设率应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100%，并符合《无障碍设计规范》(GB50763) 、《老年人照料设施建筑设计标准》（JGJ450）的要求。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居住区、居住建筑无障碍设施建设率应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100%，并符合《无障碍设计规范》(GB50763)、《老年人照料设施建筑设计标准》（JGJ450）的要求。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居住区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居住区无障碍改造率应不低于50%，且布局合理。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主要改造内容为：居住区内人行道、公共绿地、公共厕所、配套公共服务设施、无障碍停车位。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居住区逐步进行无障碍改造。</w:t>
            </w:r>
          </w:p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主要改造内容为：居住区内人行道、公共绿地、公共厕所、配套公共服务设施、无障碍停车位。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居住区逐步进行无障碍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和适老化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改造。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主要改造内容为：居住区内人行道、公共绿地、公共厕所、配套公共服务设施、无障碍停车位。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已建高层和中高层住宅、公寓和宿舍建筑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高层和中高层住宅、公寓和宿舍建筑无障碍改造率应不低于60%，且布局合理。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主要改造内容为：居住建筑出入口坡化处理，无电梯的不作要求，有电梯的待更换电梯时再选用无障碍电梯，公寓、宿舍设无障碍公共卫生间。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老年人家庭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逐步对残疾人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老年人家庭进行无障碍环境建设与改造，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基本完成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贫困重度残疾人家庭无障碍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改造任务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根据需要，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地面平整及坡化、设置低位灶台（盲人家庭灶台有煤气泄漏报警装置）、房门改造、安装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语音对讲门铃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（或可视门铃、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闪光门铃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）、坐便器改造、安装卫生间热水器、扶手（洗手池扶手、坐便器扶手、淋浴扶手）、浴凳及改善残疾人、老年人家居卫生条件的其他设施。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逐步对残疾人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老年人家庭进行无障碍环境建设与改造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基本完成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贫困重度残疾人家庭无障碍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改造任务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根据需要，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地面平整及坡化、设置低位灶台（盲人家庭灶台有煤气泄漏报警装置）、房门改造、安装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语音对讲门铃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（或可视门铃、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闪光门铃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）、坐便器改造、安装卫生间热水器、扶手（洗手池扶手、坐便器扶手、淋浴扶手）、浴凳及改善残疾人、老年人家居卫生条件的其他设施。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对贫困重度残疾人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、失能老年人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家庭进行无障碍环境建设与改造。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主要改造内容为：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根据需要，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地面平整及坡化、设置低位灶台（盲人家庭灶台有煤气泄漏报警装置）、房门改造、安装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语音对讲门铃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（或可视门铃、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闪光门铃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）、坐便器改造、安装卫生间热水器、扶手（洗手池扶手、坐便器扶手、淋浴扶手）、浴凳及改善残疾人、老年人家居卫生条件的其他设施。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46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九、信息交流无障碍环境建设</w:t>
            </w:r>
          </w:p>
          <w:p>
            <w:pPr>
              <w:ind w:left="210" w:leftChars="100" w:right="210" w:rightChars="10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210" w:leftChars="100" w:right="210" w:rightChars="10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210" w:leftChars="100" w:right="210" w:rightChars="10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ind w:left="210" w:leftChars="100" w:right="210" w:rightChars="100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无障碍信息交流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政府应将无障碍信息交流建设纳入信息化建设规划。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政府应将无障碍信息交流建设纳入信息化建设规划</w:t>
            </w:r>
          </w:p>
        </w:tc>
        <w:tc>
          <w:tcPr>
            <w:tcW w:w="3969" w:type="dxa"/>
            <w:vMerge w:val="restart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鼓励和支持有条件的农村地区实现光纤到户，提高4G网络覆盖率，为信息无障碍环境建设提供重要基础支撑。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重要政府信息</w:t>
            </w:r>
          </w:p>
        </w:tc>
        <w:tc>
          <w:tcPr>
            <w:tcW w:w="3969" w:type="dxa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政府及其有关部门发布重要政府信息和与残疾人相关的信息，应创造条件为残疾人提供语音和文字提示等信息交流服务。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政府及其有关部门发布重要政府信息和与残疾人相关的信息，应创造条件为残疾人提供语音和文字提示等信息交流服务。</w:t>
            </w:r>
          </w:p>
        </w:tc>
        <w:tc>
          <w:tcPr>
            <w:tcW w:w="3969" w:type="dxa"/>
            <w:vMerge w:val="continue"/>
            <w:tcBorders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电视台和影视类录像制品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政府设立的电视台在播出电视节目时应配备字幕，每周应播放至少一次配播手语的新闻节目。公开出版发行的影视类录像制品应配备字幕。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政府设立的电视台应逐步在播出电视节目时配备字幕。公开出版发行的影视类录像制品应配备字幕。</w:t>
            </w:r>
          </w:p>
        </w:tc>
        <w:tc>
          <w:tcPr>
            <w:tcW w:w="3969" w:type="dxa"/>
            <w:vMerge w:val="continue"/>
            <w:tcBorders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视力残疾人阅览室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政府设立的公共图书馆应开设视力残疾人阅览室，提供盲文读物、有声读物。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政府设立的公共图书馆应逐步开设视力残疾人阅览室或阅览区域，提供盲文读物、有声读物。</w:t>
            </w:r>
          </w:p>
        </w:tc>
        <w:tc>
          <w:tcPr>
            <w:tcW w:w="3969" w:type="dxa"/>
            <w:vMerge w:val="continue"/>
            <w:tcBorders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无障碍网站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残疾人组织网站、政府网站、政府公益活动网站应达到无障碍网站设计标准。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残疾人组织网站应达到无障碍网站设计标准。政府网站、政府公益活动网站应逐步达到无障碍网站设计标准。</w:t>
            </w:r>
          </w:p>
        </w:tc>
        <w:tc>
          <w:tcPr>
            <w:tcW w:w="3969" w:type="dxa"/>
            <w:vMerge w:val="continue"/>
            <w:tcBorders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公共服务机构和公共场所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公共服务机构和公共场所应为残疾人提供语音和文字提示、手语、盲文等信息交流服务。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公共服务机构和公共场所应为残疾人提供语音和文字提示、手语、盲文等信息交流服务。</w:t>
            </w:r>
          </w:p>
        </w:tc>
        <w:tc>
          <w:tcPr>
            <w:tcW w:w="3969" w:type="dxa"/>
            <w:vMerge w:val="continue"/>
            <w:tcBorders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7.落实无障碍信息消费政策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基础电信企业应对持证视力、听力、言语残疾人使用固定电话、移动电话、宽带网络服务等费用予以适当优惠。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基础电信企业应对持证视力、听力、言语残疾人使用固定电话、移动电话、宽带网络服务等费用予以适当优惠。</w:t>
            </w:r>
          </w:p>
        </w:tc>
        <w:tc>
          <w:tcPr>
            <w:tcW w:w="3969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楷体_GB2312"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 w:start="6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 ，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7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E74"/>
    <w:rsid w:val="00003949"/>
    <w:rsid w:val="000117EF"/>
    <w:rsid w:val="00012276"/>
    <w:rsid w:val="00014337"/>
    <w:rsid w:val="000175EB"/>
    <w:rsid w:val="0002527B"/>
    <w:rsid w:val="0003117C"/>
    <w:rsid w:val="00040F8C"/>
    <w:rsid w:val="00044275"/>
    <w:rsid w:val="00045E31"/>
    <w:rsid w:val="00050173"/>
    <w:rsid w:val="00055CF0"/>
    <w:rsid w:val="000603A1"/>
    <w:rsid w:val="00070AF8"/>
    <w:rsid w:val="000A08B2"/>
    <w:rsid w:val="000A66CB"/>
    <w:rsid w:val="000A7977"/>
    <w:rsid w:val="000B06E6"/>
    <w:rsid w:val="000C38CA"/>
    <w:rsid w:val="000D02B4"/>
    <w:rsid w:val="000D5A13"/>
    <w:rsid w:val="000E197A"/>
    <w:rsid w:val="000F7EE7"/>
    <w:rsid w:val="00115C44"/>
    <w:rsid w:val="00123534"/>
    <w:rsid w:val="001268D3"/>
    <w:rsid w:val="0013277B"/>
    <w:rsid w:val="00134797"/>
    <w:rsid w:val="00136096"/>
    <w:rsid w:val="00141009"/>
    <w:rsid w:val="001448C4"/>
    <w:rsid w:val="00145414"/>
    <w:rsid w:val="00146A1E"/>
    <w:rsid w:val="0017417A"/>
    <w:rsid w:val="00174A61"/>
    <w:rsid w:val="00177DB1"/>
    <w:rsid w:val="00184EBE"/>
    <w:rsid w:val="001877A1"/>
    <w:rsid w:val="00192525"/>
    <w:rsid w:val="00196F29"/>
    <w:rsid w:val="001A5D7D"/>
    <w:rsid w:val="001B1BC5"/>
    <w:rsid w:val="001C122B"/>
    <w:rsid w:val="001C1C35"/>
    <w:rsid w:val="001C66C9"/>
    <w:rsid w:val="001C6B4D"/>
    <w:rsid w:val="001F7104"/>
    <w:rsid w:val="001F73F7"/>
    <w:rsid w:val="002026E9"/>
    <w:rsid w:val="002057CD"/>
    <w:rsid w:val="00205E96"/>
    <w:rsid w:val="00220944"/>
    <w:rsid w:val="00220B53"/>
    <w:rsid w:val="00223548"/>
    <w:rsid w:val="0022551A"/>
    <w:rsid w:val="00226B4C"/>
    <w:rsid w:val="002310A9"/>
    <w:rsid w:val="0023142D"/>
    <w:rsid w:val="00234CFB"/>
    <w:rsid w:val="002445B6"/>
    <w:rsid w:val="0024722D"/>
    <w:rsid w:val="002504C9"/>
    <w:rsid w:val="002530C9"/>
    <w:rsid w:val="002653C4"/>
    <w:rsid w:val="00271A62"/>
    <w:rsid w:val="0027452E"/>
    <w:rsid w:val="00274FA3"/>
    <w:rsid w:val="0027555C"/>
    <w:rsid w:val="00275A07"/>
    <w:rsid w:val="0027774E"/>
    <w:rsid w:val="00280CEB"/>
    <w:rsid w:val="002810BD"/>
    <w:rsid w:val="00285231"/>
    <w:rsid w:val="002A1CAA"/>
    <w:rsid w:val="002A2DFB"/>
    <w:rsid w:val="002A7AB3"/>
    <w:rsid w:val="002B3D70"/>
    <w:rsid w:val="002B4E86"/>
    <w:rsid w:val="002B5552"/>
    <w:rsid w:val="002C1078"/>
    <w:rsid w:val="002D33C6"/>
    <w:rsid w:val="002D6415"/>
    <w:rsid w:val="002D75D2"/>
    <w:rsid w:val="002E33B2"/>
    <w:rsid w:val="002F1EA8"/>
    <w:rsid w:val="002F511F"/>
    <w:rsid w:val="00305457"/>
    <w:rsid w:val="00311803"/>
    <w:rsid w:val="00315D53"/>
    <w:rsid w:val="00320576"/>
    <w:rsid w:val="0032115A"/>
    <w:rsid w:val="003263F0"/>
    <w:rsid w:val="003317DB"/>
    <w:rsid w:val="00336299"/>
    <w:rsid w:val="00341BD1"/>
    <w:rsid w:val="003564C5"/>
    <w:rsid w:val="00365789"/>
    <w:rsid w:val="00366FAC"/>
    <w:rsid w:val="003732B4"/>
    <w:rsid w:val="00382FE6"/>
    <w:rsid w:val="00391076"/>
    <w:rsid w:val="00394533"/>
    <w:rsid w:val="00396250"/>
    <w:rsid w:val="003A1EEB"/>
    <w:rsid w:val="003A520C"/>
    <w:rsid w:val="003A5907"/>
    <w:rsid w:val="003D40BE"/>
    <w:rsid w:val="003D530D"/>
    <w:rsid w:val="003E519C"/>
    <w:rsid w:val="003F0083"/>
    <w:rsid w:val="003F3107"/>
    <w:rsid w:val="003F4318"/>
    <w:rsid w:val="003F5534"/>
    <w:rsid w:val="003F7DB0"/>
    <w:rsid w:val="00402924"/>
    <w:rsid w:val="00405940"/>
    <w:rsid w:val="0042416F"/>
    <w:rsid w:val="00426382"/>
    <w:rsid w:val="00426F0C"/>
    <w:rsid w:val="004401F3"/>
    <w:rsid w:val="00444A1E"/>
    <w:rsid w:val="0046033E"/>
    <w:rsid w:val="004653D8"/>
    <w:rsid w:val="0047004F"/>
    <w:rsid w:val="004746E4"/>
    <w:rsid w:val="004804B3"/>
    <w:rsid w:val="004872E8"/>
    <w:rsid w:val="00492706"/>
    <w:rsid w:val="00492A04"/>
    <w:rsid w:val="004A1268"/>
    <w:rsid w:val="004A28CA"/>
    <w:rsid w:val="004B3961"/>
    <w:rsid w:val="004B3A3C"/>
    <w:rsid w:val="004C433B"/>
    <w:rsid w:val="004C6E32"/>
    <w:rsid w:val="004D23F4"/>
    <w:rsid w:val="004D5705"/>
    <w:rsid w:val="004E498F"/>
    <w:rsid w:val="004E733F"/>
    <w:rsid w:val="004F289D"/>
    <w:rsid w:val="004F7CF8"/>
    <w:rsid w:val="00512A58"/>
    <w:rsid w:val="00520327"/>
    <w:rsid w:val="005372C7"/>
    <w:rsid w:val="00552F8F"/>
    <w:rsid w:val="0057663C"/>
    <w:rsid w:val="00581B21"/>
    <w:rsid w:val="005830D0"/>
    <w:rsid w:val="00584040"/>
    <w:rsid w:val="00596662"/>
    <w:rsid w:val="005A14EE"/>
    <w:rsid w:val="005B1FDB"/>
    <w:rsid w:val="005B2ED8"/>
    <w:rsid w:val="005B2FDA"/>
    <w:rsid w:val="005C3BA9"/>
    <w:rsid w:val="005D0F70"/>
    <w:rsid w:val="005D383D"/>
    <w:rsid w:val="005E3C93"/>
    <w:rsid w:val="005F1E8B"/>
    <w:rsid w:val="005F3E28"/>
    <w:rsid w:val="00601E0A"/>
    <w:rsid w:val="00606123"/>
    <w:rsid w:val="00606572"/>
    <w:rsid w:val="00610316"/>
    <w:rsid w:val="006362AC"/>
    <w:rsid w:val="006406C4"/>
    <w:rsid w:val="00645847"/>
    <w:rsid w:val="006526D4"/>
    <w:rsid w:val="006551DD"/>
    <w:rsid w:val="00665FCB"/>
    <w:rsid w:val="0067055A"/>
    <w:rsid w:val="00674168"/>
    <w:rsid w:val="00674C18"/>
    <w:rsid w:val="00677699"/>
    <w:rsid w:val="006C4A09"/>
    <w:rsid w:val="006D039E"/>
    <w:rsid w:val="006D28B9"/>
    <w:rsid w:val="006D5E6E"/>
    <w:rsid w:val="006F1836"/>
    <w:rsid w:val="006F5B0F"/>
    <w:rsid w:val="0071535E"/>
    <w:rsid w:val="00722E74"/>
    <w:rsid w:val="00724E7D"/>
    <w:rsid w:val="007268BE"/>
    <w:rsid w:val="00727B78"/>
    <w:rsid w:val="007310AC"/>
    <w:rsid w:val="007578DE"/>
    <w:rsid w:val="00761ECB"/>
    <w:rsid w:val="00771739"/>
    <w:rsid w:val="007766FB"/>
    <w:rsid w:val="007832C1"/>
    <w:rsid w:val="00784846"/>
    <w:rsid w:val="007A51FA"/>
    <w:rsid w:val="007B23A2"/>
    <w:rsid w:val="007F0A23"/>
    <w:rsid w:val="0080455D"/>
    <w:rsid w:val="00810E71"/>
    <w:rsid w:val="00820F62"/>
    <w:rsid w:val="00825BBD"/>
    <w:rsid w:val="00832CD7"/>
    <w:rsid w:val="008333E8"/>
    <w:rsid w:val="00841050"/>
    <w:rsid w:val="0087430C"/>
    <w:rsid w:val="00880B69"/>
    <w:rsid w:val="008B1055"/>
    <w:rsid w:val="008C7EFB"/>
    <w:rsid w:val="008D1486"/>
    <w:rsid w:val="008D5696"/>
    <w:rsid w:val="008D5C6D"/>
    <w:rsid w:val="00900F01"/>
    <w:rsid w:val="0091054E"/>
    <w:rsid w:val="00932401"/>
    <w:rsid w:val="00933809"/>
    <w:rsid w:val="00935B29"/>
    <w:rsid w:val="009363A7"/>
    <w:rsid w:val="00936AA0"/>
    <w:rsid w:val="00942A47"/>
    <w:rsid w:val="00943722"/>
    <w:rsid w:val="00945AC5"/>
    <w:rsid w:val="009675F5"/>
    <w:rsid w:val="0097034B"/>
    <w:rsid w:val="009748DF"/>
    <w:rsid w:val="009874E3"/>
    <w:rsid w:val="0099151A"/>
    <w:rsid w:val="009A52FF"/>
    <w:rsid w:val="009A5E47"/>
    <w:rsid w:val="009B10C9"/>
    <w:rsid w:val="009B180E"/>
    <w:rsid w:val="009B5A26"/>
    <w:rsid w:val="009C0B16"/>
    <w:rsid w:val="009C1512"/>
    <w:rsid w:val="009C525B"/>
    <w:rsid w:val="009E33E9"/>
    <w:rsid w:val="009E7010"/>
    <w:rsid w:val="00A073E1"/>
    <w:rsid w:val="00A16E43"/>
    <w:rsid w:val="00A25BB6"/>
    <w:rsid w:val="00A277B7"/>
    <w:rsid w:val="00A34932"/>
    <w:rsid w:val="00A44EE9"/>
    <w:rsid w:val="00A50D89"/>
    <w:rsid w:val="00A522AE"/>
    <w:rsid w:val="00A66BC1"/>
    <w:rsid w:val="00A70675"/>
    <w:rsid w:val="00A717D6"/>
    <w:rsid w:val="00A8094B"/>
    <w:rsid w:val="00A9001C"/>
    <w:rsid w:val="00A96815"/>
    <w:rsid w:val="00AA412F"/>
    <w:rsid w:val="00AB4788"/>
    <w:rsid w:val="00AB6E20"/>
    <w:rsid w:val="00AC0DB0"/>
    <w:rsid w:val="00AC2C73"/>
    <w:rsid w:val="00AC62D6"/>
    <w:rsid w:val="00AC6362"/>
    <w:rsid w:val="00AD42F9"/>
    <w:rsid w:val="00AE7272"/>
    <w:rsid w:val="00AF1B36"/>
    <w:rsid w:val="00AF6A99"/>
    <w:rsid w:val="00AF6DF2"/>
    <w:rsid w:val="00AF6FE9"/>
    <w:rsid w:val="00B14E24"/>
    <w:rsid w:val="00B20982"/>
    <w:rsid w:val="00B4340D"/>
    <w:rsid w:val="00B47588"/>
    <w:rsid w:val="00B52E3C"/>
    <w:rsid w:val="00B70B88"/>
    <w:rsid w:val="00B71E45"/>
    <w:rsid w:val="00B76565"/>
    <w:rsid w:val="00B81B28"/>
    <w:rsid w:val="00B9313D"/>
    <w:rsid w:val="00B966F6"/>
    <w:rsid w:val="00BA0111"/>
    <w:rsid w:val="00BA0B33"/>
    <w:rsid w:val="00BA22C0"/>
    <w:rsid w:val="00BA7968"/>
    <w:rsid w:val="00BB1E41"/>
    <w:rsid w:val="00BB33FE"/>
    <w:rsid w:val="00BD647D"/>
    <w:rsid w:val="00BD6B26"/>
    <w:rsid w:val="00BE3471"/>
    <w:rsid w:val="00BE5EB1"/>
    <w:rsid w:val="00BF594C"/>
    <w:rsid w:val="00C03F9F"/>
    <w:rsid w:val="00C074C7"/>
    <w:rsid w:val="00C21856"/>
    <w:rsid w:val="00C225E8"/>
    <w:rsid w:val="00C22B2E"/>
    <w:rsid w:val="00C243DA"/>
    <w:rsid w:val="00C25439"/>
    <w:rsid w:val="00C34CEF"/>
    <w:rsid w:val="00C43D15"/>
    <w:rsid w:val="00C5002E"/>
    <w:rsid w:val="00C50DAE"/>
    <w:rsid w:val="00C514F0"/>
    <w:rsid w:val="00C6311B"/>
    <w:rsid w:val="00C64910"/>
    <w:rsid w:val="00C669FF"/>
    <w:rsid w:val="00C867E3"/>
    <w:rsid w:val="00C945FF"/>
    <w:rsid w:val="00CB40E4"/>
    <w:rsid w:val="00CB6833"/>
    <w:rsid w:val="00CB7DE7"/>
    <w:rsid w:val="00CC198F"/>
    <w:rsid w:val="00CC308A"/>
    <w:rsid w:val="00CC4BC0"/>
    <w:rsid w:val="00CD3E47"/>
    <w:rsid w:val="00CD46B2"/>
    <w:rsid w:val="00CE41F2"/>
    <w:rsid w:val="00D02C00"/>
    <w:rsid w:val="00D45133"/>
    <w:rsid w:val="00D81DFC"/>
    <w:rsid w:val="00D84520"/>
    <w:rsid w:val="00D8459D"/>
    <w:rsid w:val="00D9262C"/>
    <w:rsid w:val="00DB5347"/>
    <w:rsid w:val="00DB7CA7"/>
    <w:rsid w:val="00DC2050"/>
    <w:rsid w:val="00DC4591"/>
    <w:rsid w:val="00DC507F"/>
    <w:rsid w:val="00DC734C"/>
    <w:rsid w:val="00DD1D75"/>
    <w:rsid w:val="00DD6757"/>
    <w:rsid w:val="00DF2545"/>
    <w:rsid w:val="00DF45CB"/>
    <w:rsid w:val="00DF7109"/>
    <w:rsid w:val="00E0527D"/>
    <w:rsid w:val="00E05A94"/>
    <w:rsid w:val="00E06149"/>
    <w:rsid w:val="00E0735C"/>
    <w:rsid w:val="00E07DCD"/>
    <w:rsid w:val="00E11EB8"/>
    <w:rsid w:val="00E13C4A"/>
    <w:rsid w:val="00E23600"/>
    <w:rsid w:val="00E51C14"/>
    <w:rsid w:val="00E55853"/>
    <w:rsid w:val="00E57299"/>
    <w:rsid w:val="00E61185"/>
    <w:rsid w:val="00E66F16"/>
    <w:rsid w:val="00E97286"/>
    <w:rsid w:val="00EB118F"/>
    <w:rsid w:val="00EC32D8"/>
    <w:rsid w:val="00EC39E7"/>
    <w:rsid w:val="00EC478C"/>
    <w:rsid w:val="00ED147B"/>
    <w:rsid w:val="00ED5A11"/>
    <w:rsid w:val="00ED6FEE"/>
    <w:rsid w:val="00EE642A"/>
    <w:rsid w:val="00EF5C42"/>
    <w:rsid w:val="00EF64F0"/>
    <w:rsid w:val="00F01187"/>
    <w:rsid w:val="00F04936"/>
    <w:rsid w:val="00F12D16"/>
    <w:rsid w:val="00F22833"/>
    <w:rsid w:val="00F33866"/>
    <w:rsid w:val="00F443C8"/>
    <w:rsid w:val="00F44922"/>
    <w:rsid w:val="00F53800"/>
    <w:rsid w:val="00F550D9"/>
    <w:rsid w:val="00F60F57"/>
    <w:rsid w:val="00F6751F"/>
    <w:rsid w:val="00F73203"/>
    <w:rsid w:val="00F845C6"/>
    <w:rsid w:val="00FB0464"/>
    <w:rsid w:val="00FB2955"/>
    <w:rsid w:val="00FB2EE1"/>
    <w:rsid w:val="00FB4E26"/>
    <w:rsid w:val="00FC0EA2"/>
    <w:rsid w:val="00FC1349"/>
    <w:rsid w:val="00FC559C"/>
    <w:rsid w:val="00FD7703"/>
    <w:rsid w:val="00FE0BCB"/>
    <w:rsid w:val="00FF2982"/>
    <w:rsid w:val="00FF3D6D"/>
    <w:rsid w:val="00FF4C0A"/>
    <w:rsid w:val="029904CA"/>
    <w:rsid w:val="02E4531A"/>
    <w:rsid w:val="032F200F"/>
    <w:rsid w:val="043F0BC6"/>
    <w:rsid w:val="04F4234E"/>
    <w:rsid w:val="06413B0A"/>
    <w:rsid w:val="06D006EA"/>
    <w:rsid w:val="072F19DF"/>
    <w:rsid w:val="07400DAE"/>
    <w:rsid w:val="097C2ED6"/>
    <w:rsid w:val="09B82B04"/>
    <w:rsid w:val="0A030962"/>
    <w:rsid w:val="0A55284D"/>
    <w:rsid w:val="0B243A8E"/>
    <w:rsid w:val="0B4C62B8"/>
    <w:rsid w:val="0D0A705A"/>
    <w:rsid w:val="0E874C00"/>
    <w:rsid w:val="0FDA232A"/>
    <w:rsid w:val="114A03A3"/>
    <w:rsid w:val="1316773A"/>
    <w:rsid w:val="14827489"/>
    <w:rsid w:val="16C45467"/>
    <w:rsid w:val="174E4285"/>
    <w:rsid w:val="188266F3"/>
    <w:rsid w:val="193D713A"/>
    <w:rsid w:val="1AD14A53"/>
    <w:rsid w:val="1B1E28FC"/>
    <w:rsid w:val="1E3A7639"/>
    <w:rsid w:val="1E4E3280"/>
    <w:rsid w:val="204555BB"/>
    <w:rsid w:val="219B7169"/>
    <w:rsid w:val="23A476FC"/>
    <w:rsid w:val="24AD4C1A"/>
    <w:rsid w:val="27C17DAE"/>
    <w:rsid w:val="2A3500C6"/>
    <w:rsid w:val="2B72756D"/>
    <w:rsid w:val="2CD26C35"/>
    <w:rsid w:val="3076072D"/>
    <w:rsid w:val="388C693E"/>
    <w:rsid w:val="3E1F3713"/>
    <w:rsid w:val="3E922C59"/>
    <w:rsid w:val="3EED209F"/>
    <w:rsid w:val="3FDF1279"/>
    <w:rsid w:val="42EC648A"/>
    <w:rsid w:val="4302727C"/>
    <w:rsid w:val="45F97281"/>
    <w:rsid w:val="47010AEF"/>
    <w:rsid w:val="48E06077"/>
    <w:rsid w:val="496E7497"/>
    <w:rsid w:val="4A594D71"/>
    <w:rsid w:val="4A6568FC"/>
    <w:rsid w:val="4B34684A"/>
    <w:rsid w:val="4B576E9F"/>
    <w:rsid w:val="4D4F3293"/>
    <w:rsid w:val="5006256A"/>
    <w:rsid w:val="511579D0"/>
    <w:rsid w:val="51F70FFC"/>
    <w:rsid w:val="53D24B0C"/>
    <w:rsid w:val="541A228E"/>
    <w:rsid w:val="55A37C5D"/>
    <w:rsid w:val="59C76639"/>
    <w:rsid w:val="5A5938DA"/>
    <w:rsid w:val="5C3A6CF8"/>
    <w:rsid w:val="5CB37618"/>
    <w:rsid w:val="5CC75EC5"/>
    <w:rsid w:val="5CDC1A6D"/>
    <w:rsid w:val="5EE571E2"/>
    <w:rsid w:val="633E6D78"/>
    <w:rsid w:val="637948A0"/>
    <w:rsid w:val="63BC2E76"/>
    <w:rsid w:val="63F958DB"/>
    <w:rsid w:val="644871D1"/>
    <w:rsid w:val="6543613F"/>
    <w:rsid w:val="66A25B69"/>
    <w:rsid w:val="66A27D67"/>
    <w:rsid w:val="67C03FE4"/>
    <w:rsid w:val="683E27B8"/>
    <w:rsid w:val="68B22AEB"/>
    <w:rsid w:val="69050244"/>
    <w:rsid w:val="690742F5"/>
    <w:rsid w:val="6A3629C3"/>
    <w:rsid w:val="6B2C6E96"/>
    <w:rsid w:val="6BDF28B8"/>
    <w:rsid w:val="6C77420C"/>
    <w:rsid w:val="6D10009E"/>
    <w:rsid w:val="6D165F1B"/>
    <w:rsid w:val="6DD45CE7"/>
    <w:rsid w:val="6DD66BA4"/>
    <w:rsid w:val="6ED446DA"/>
    <w:rsid w:val="707C5BE1"/>
    <w:rsid w:val="70CD4F07"/>
    <w:rsid w:val="70D71A43"/>
    <w:rsid w:val="71B72837"/>
    <w:rsid w:val="726657E6"/>
    <w:rsid w:val="72737A95"/>
    <w:rsid w:val="73352CAD"/>
    <w:rsid w:val="74BB3B35"/>
    <w:rsid w:val="755C60C1"/>
    <w:rsid w:val="77464CED"/>
    <w:rsid w:val="789A57FD"/>
    <w:rsid w:val="7CA100CA"/>
    <w:rsid w:val="7CE61909"/>
    <w:rsid w:val="7D5E51D4"/>
    <w:rsid w:val="7DB519DD"/>
    <w:rsid w:val="7EE919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7D208-212E-4998-898D-D5261197C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1538</Words>
  <Characters>8771</Characters>
  <Lines>73</Lines>
  <Paragraphs>20</Paragraphs>
  <ScaleCrop>false</ScaleCrop>
  <LinksUpToDate>false</LinksUpToDate>
  <CharactersWithSpaces>10289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2018-09-13T08:17:00Z</dcterms:created>
  <dc:creator>wushanshan</dc:creator>
  <cp:lastModifiedBy>王骁(拟稿)</cp:lastModifiedBy>
  <cp:lastPrinted>2018-11-07T05:35:09Z</cp:lastPrinted>
  <dcterms:modified xsi:type="dcterms:W3CDTF">2018-11-07T05:48:45Z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